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D8FFC" w14:textId="77777777" w:rsidR="00AB2064" w:rsidRDefault="00000000" w:rsidP="00AB2064">
      <w:pPr>
        <w:spacing w:after="0" w:line="271" w:lineRule="auto"/>
        <w:ind w:left="10" w:right="174" w:hanging="10"/>
        <w:jc w:val="center"/>
      </w:pPr>
      <w:r>
        <w:rPr>
          <w:b/>
          <w:sz w:val="29"/>
        </w:rPr>
        <w:t xml:space="preserve">Assessing the role of airborne geophysical data to identify nitrate leaching prone areas in </w:t>
      </w:r>
      <w:proofErr w:type="gramStart"/>
      <w:r>
        <w:rPr>
          <w:b/>
          <w:sz w:val="29"/>
        </w:rPr>
        <w:t>California’s</w:t>
      </w:r>
      <w:proofErr w:type="gramEnd"/>
      <w:r w:rsidR="00AB2064">
        <w:t xml:space="preserve"> </w:t>
      </w:r>
    </w:p>
    <w:p w14:paraId="1B709060" w14:textId="74916431" w:rsidR="00427B52" w:rsidRDefault="00000000" w:rsidP="00AB2064">
      <w:pPr>
        <w:spacing w:after="0" w:line="271" w:lineRule="auto"/>
        <w:ind w:left="10" w:right="174" w:hanging="10"/>
        <w:jc w:val="center"/>
      </w:pPr>
      <w:r>
        <w:rPr>
          <w:b/>
          <w:sz w:val="29"/>
        </w:rPr>
        <w:t>Central Valley groundwater</w:t>
      </w:r>
      <w:r>
        <w:br w:type="page"/>
      </w:r>
    </w:p>
    <w:p w14:paraId="485F65AD" w14:textId="77777777" w:rsidR="00427B52" w:rsidRDefault="00000000">
      <w:pPr>
        <w:pStyle w:val="Heading1"/>
        <w:numPr>
          <w:ilvl w:val="0"/>
          <w:numId w:val="0"/>
        </w:numPr>
        <w:spacing w:after="150" w:line="265" w:lineRule="auto"/>
        <w:ind w:right="373"/>
      </w:pPr>
      <w:r>
        <w:rPr>
          <w:sz w:val="20"/>
        </w:rPr>
        <w:lastRenderedPageBreak/>
        <w:t>Abstract</w:t>
      </w:r>
    </w:p>
    <w:p w14:paraId="0ECC7D89" w14:textId="79A0836B" w:rsidR="00427B52" w:rsidRDefault="00000000">
      <w:pPr>
        <w:spacing w:after="376"/>
        <w:ind w:left="-15" w:firstLine="0"/>
      </w:pPr>
      <w:r>
        <w:t xml:space="preserve">Groundwater contamination by nitrate is a major environmental issue that affects human health and agriculture. In California’s Central Valley, nitrate contamination of groundwater is particularly severe, and it is important to identify regions that are susceptible to nitrate contamination to develop effective groundwater management programs. In this study, we utilized high-resolution airborne electric resistivity measurements to investigate how local subsurface soil properties influence groundwater nitrate pollution in the wells across Central Valley. This investigation represents the first evaluation of nitrate pollution employing a </w:t>
      </w:r>
      <w:r w:rsidR="00AB2064">
        <w:t>novel airborne electromagnetic measurement</w:t>
      </w:r>
      <w:r>
        <w:t xml:space="preserve"> at a regional scale, which was notably costly to collect. We computed the depth-averaged resistivity and the thickness of the clay layer, investigating their correlation with nitrate concentration. Our analysis underscores that nitrate leaching into groundwater is effectively mitigated by thick, low-resistivity clay layers. However, the correlation between depth averaged resistivity and mean nitrate concentration weakens as resistivity values climb. To further substantiate our research, we applied a machine learning model to evaluate the predictive potential of depth average resistivity in predicting mean well nitrate levels. Although resistivity contributes to more accurate nitrate level predictions, the magnitude of this enhancement is very limited. These findings bear substantial implications for policy discussions regarding groundwater protection, positing nitrate pollution as predominantly a regional issue.</w:t>
      </w:r>
    </w:p>
    <w:p w14:paraId="55F8A285" w14:textId="77777777" w:rsidR="00427B52" w:rsidRDefault="00000000">
      <w:pPr>
        <w:pStyle w:val="Heading1"/>
        <w:ind w:left="278" w:hanging="293"/>
      </w:pPr>
      <w:r>
        <w:t>Introduction</w:t>
      </w:r>
    </w:p>
    <w:p w14:paraId="3E7FB989" w14:textId="77777777" w:rsidR="00427B52" w:rsidRDefault="00000000">
      <w:pPr>
        <w:ind w:left="-15" w:right="304"/>
      </w:pPr>
      <w:r>
        <w:t>Groundwater nitrate contamination is a significant concern as excessive levels of nitrate can have detrimental impacts on human health, causing conditions such as preterm birth [</w:t>
      </w:r>
      <w:r>
        <w:rPr>
          <w:i/>
        </w:rPr>
        <w:t>Sherris et al.</w:t>
      </w:r>
      <w:r>
        <w:t>, 2021], blue baby syndrome [</w:t>
      </w:r>
      <w:r>
        <w:rPr>
          <w:i/>
        </w:rPr>
        <w:t>Walton</w:t>
      </w:r>
      <w:r>
        <w:t>, 1951], and cancer [</w:t>
      </w:r>
      <w:proofErr w:type="spellStart"/>
      <w:r>
        <w:rPr>
          <w:i/>
        </w:rPr>
        <w:t>Schullehner</w:t>
      </w:r>
      <w:proofErr w:type="spellEnd"/>
      <w:r>
        <w:rPr>
          <w:i/>
        </w:rPr>
        <w:t xml:space="preserve"> et al.</w:t>
      </w:r>
      <w:r>
        <w:t>, 2018]. Nitrogen is an essential plant nutrient widely used in agriculture in the form of inorganic fertilizer or animal manure [</w:t>
      </w:r>
      <w:r>
        <w:rPr>
          <w:i/>
        </w:rPr>
        <w:t>Baker</w:t>
      </w:r>
      <w:r>
        <w:t>, 1992]. However, the over-application of nitrogen fertilizer or manure can lead to nitrate leaching, which elevates nitrate levels in groundwater [</w:t>
      </w:r>
      <w:r>
        <w:rPr>
          <w:i/>
        </w:rPr>
        <w:t>Ransom et al.</w:t>
      </w:r>
      <w:r>
        <w:t>, 2016].</w:t>
      </w:r>
    </w:p>
    <w:p w14:paraId="44FD81DA" w14:textId="0053CECB" w:rsidR="00427B52" w:rsidRDefault="00AB2064">
      <w:pPr>
        <w:ind w:left="-15" w:right="476"/>
      </w:pPr>
      <w:r>
        <w:t>Groundwater</w:t>
      </w:r>
      <w:r w:rsidR="00000000">
        <w:t xml:space="preserve"> nitrate contamination in California’s Central Valley has become an increasing concern, attributed to population growth, fertilizers, and manure [</w:t>
      </w:r>
      <w:r w:rsidR="00000000">
        <w:rPr>
          <w:i/>
        </w:rPr>
        <w:t>Rosenstock et al.</w:t>
      </w:r>
      <w:r w:rsidR="00000000">
        <w:t xml:space="preserve">, 2014]. According to a study by </w:t>
      </w:r>
      <w:proofErr w:type="spellStart"/>
      <w:r w:rsidR="00000000">
        <w:rPr>
          <w:i/>
        </w:rPr>
        <w:t>Burow</w:t>
      </w:r>
      <w:proofErr w:type="spellEnd"/>
      <w:r w:rsidR="00000000">
        <w:rPr>
          <w:i/>
        </w:rPr>
        <w:t xml:space="preserve"> et al. </w:t>
      </w:r>
      <w:r w:rsidR="00000000">
        <w:t>[2013], nitrate levels exceeding 5 mg/L have increased four-fold in shallow zones and two-fold in deep zones of the eastern fans of Central Valley from the 1950s to the 2000s.</w:t>
      </w:r>
    </w:p>
    <w:p w14:paraId="4C6B742B" w14:textId="77777777" w:rsidR="00427B52" w:rsidRDefault="00000000">
      <w:pPr>
        <w:ind w:left="-15" w:right="456"/>
      </w:pPr>
      <w:r>
        <w:lastRenderedPageBreak/>
        <w:t>In the Central Valley, private wells are not regulated, and approximately 40-50% of private wells sampled have nitrate levels that exceed the maximum contaminant level (MCL) for Nitrate as nitrogen (a.k.a. Nitrate-N) of 10 mg/L [</w:t>
      </w:r>
      <w:r>
        <w:rPr>
          <w:i/>
        </w:rPr>
        <w:t>CSWCB</w:t>
      </w:r>
      <w:r>
        <w:t xml:space="preserve">, 2009, </w:t>
      </w:r>
      <w:r>
        <w:rPr>
          <w:i/>
        </w:rPr>
        <w:t>Lockhart et al.</w:t>
      </w:r>
      <w:r>
        <w:t>, 2013], which is equivalent to 44.3 mg/L for Nitrate as per the U.S. Environmental Protection Agency (EPA) [</w:t>
      </w:r>
      <w:r>
        <w:rPr>
          <w:i/>
        </w:rPr>
        <w:t>USEPA</w:t>
      </w:r>
      <w:r>
        <w:t>, 1991]. Around 92,000 private wells are estimated to be in use in the Central Valley [</w:t>
      </w:r>
      <w:r>
        <w:rPr>
          <w:i/>
        </w:rPr>
        <w:t xml:space="preserve">Johnson and </w:t>
      </w:r>
      <w:proofErr w:type="spellStart"/>
      <w:r>
        <w:rPr>
          <w:i/>
        </w:rPr>
        <w:t>Belitz</w:t>
      </w:r>
      <w:proofErr w:type="spellEnd"/>
      <w:r>
        <w:t>, 2015], with only a few of them being tested for nitrate. This indicates the significant health risk that nitrate contamination may pose in all untreated wells, which are also unknown to have contamination.</w:t>
      </w:r>
    </w:p>
    <w:p w14:paraId="515465A5" w14:textId="46081E4C" w:rsidR="00427B52" w:rsidRDefault="00000000">
      <w:pPr>
        <w:ind w:left="-15" w:right="304"/>
      </w:pPr>
      <w:r>
        <w:t>Identifying areas that are susceptible to groundwater contamination can provide critical insights for government agencies to implement effective land management</w:t>
      </w:r>
      <w:r w:rsidR="007B6709">
        <w:t xml:space="preserve"> </w:t>
      </w:r>
      <w:r>
        <w:t>regulations and minimize contamination risks. For example, both California [</w:t>
      </w:r>
      <w:r>
        <w:rPr>
          <w:i/>
        </w:rPr>
        <w:t>Troiano et al.</w:t>
      </w:r>
      <w:r>
        <w:t>, 1994] and Denmark [</w:t>
      </w:r>
      <w:r>
        <w:rPr>
          <w:i/>
        </w:rPr>
        <w:t>Thomsen et al.</w:t>
      </w:r>
      <w:r>
        <w:t>, 2004] government agencies employ groundwater protection zones to safeguard groundwater against contamination.</w:t>
      </w:r>
    </w:p>
    <w:p w14:paraId="2DCC447B" w14:textId="77777777" w:rsidR="00427B52" w:rsidRDefault="00000000">
      <w:pPr>
        <w:ind w:left="-15" w:right="21"/>
      </w:pPr>
      <w:r>
        <w:t>Groundwater vulnerability assessment methods are broadly divided into three categories: index based, statistical, and process-based [</w:t>
      </w:r>
      <w:proofErr w:type="spellStart"/>
      <w:r>
        <w:rPr>
          <w:i/>
        </w:rPr>
        <w:t>Taghavi</w:t>
      </w:r>
      <w:proofErr w:type="spellEnd"/>
      <w:r>
        <w:rPr>
          <w:i/>
        </w:rPr>
        <w:t xml:space="preserve"> et al.</w:t>
      </w:r>
      <w:r>
        <w:t>, 2022]. The index based method, exemplified by DRASTIC (D: Depth to water, R: recharge, A: Aquifer media, S: Soil media, T: Topography, I: Impact of the vadose zone, and C: Conductivity of aquifer), groundwater vulnerability is determined using seven parameters such as soil depth to water table, recharge, aquifer type, soil type, topography, vadose zone, and aquifer conductivity. Each parameter is rated between 1-5 and given different weights based on the importance in an area [</w:t>
      </w:r>
      <w:proofErr w:type="spellStart"/>
      <w:r>
        <w:rPr>
          <w:i/>
        </w:rPr>
        <w:t>Kazakis</w:t>
      </w:r>
      <w:proofErr w:type="spellEnd"/>
      <w:r>
        <w:rPr>
          <w:i/>
        </w:rPr>
        <w:t xml:space="preserve"> and </w:t>
      </w:r>
      <w:proofErr w:type="spellStart"/>
      <w:r>
        <w:rPr>
          <w:i/>
        </w:rPr>
        <w:t>Voudouris</w:t>
      </w:r>
      <w:proofErr w:type="spellEnd"/>
      <w:r>
        <w:t>, 2015]. The main disadvantage of this method is the subjectivity in rating selection and the challenge of quantifying uncertainty [</w:t>
      </w:r>
      <w:r>
        <w:rPr>
          <w:i/>
        </w:rPr>
        <w:t>Robins et al.</w:t>
      </w:r>
      <w:r>
        <w:t>, 2007].</w:t>
      </w:r>
    </w:p>
    <w:p w14:paraId="106BFED9" w14:textId="77777777" w:rsidR="00427B52" w:rsidRDefault="00000000">
      <w:pPr>
        <w:ind w:left="-15" w:right="304"/>
      </w:pPr>
      <w:r>
        <w:t>Statistical data-driven methods such as regression [</w:t>
      </w:r>
      <w:r>
        <w:rPr>
          <w:i/>
        </w:rPr>
        <w:t>Stackelberg et al.</w:t>
      </w:r>
      <w:r>
        <w:t>, 2012] and random forest [</w:t>
      </w:r>
      <w:r>
        <w:rPr>
          <w:i/>
        </w:rPr>
        <w:t>Messier et al.</w:t>
      </w:r>
      <w:r>
        <w:t>, 2019] have shown promise in predicting groundwater vulnerability, but their practical use for enforcing land management may be limited by data availability and lack of transparency. Process-based methods offer a quantitative estimation of groundwater vulnerability by considering hydrogeologic processes and predicting contaminant transport at various scales [</w:t>
      </w:r>
      <w:proofErr w:type="spellStart"/>
      <w:r>
        <w:rPr>
          <w:i/>
        </w:rPr>
        <w:t>Beaujean</w:t>
      </w:r>
      <w:proofErr w:type="spellEnd"/>
      <w:r>
        <w:rPr>
          <w:i/>
        </w:rPr>
        <w:t xml:space="preserve"> et al.</w:t>
      </w:r>
      <w:r>
        <w:t>, 2014], but are limited in their applicability to small areas [</w:t>
      </w:r>
      <w:proofErr w:type="spellStart"/>
      <w:r>
        <w:rPr>
          <w:i/>
        </w:rPr>
        <w:t>Beaujean</w:t>
      </w:r>
      <w:proofErr w:type="spellEnd"/>
      <w:r>
        <w:rPr>
          <w:i/>
        </w:rPr>
        <w:t xml:space="preserve"> et al.</w:t>
      </w:r>
      <w:r>
        <w:t>, 2014], requirement of large field data for complex methods [</w:t>
      </w:r>
      <w:proofErr w:type="spellStart"/>
      <w:r>
        <w:rPr>
          <w:i/>
        </w:rPr>
        <w:t>Machiwal</w:t>
      </w:r>
      <w:proofErr w:type="spellEnd"/>
      <w:r>
        <w:rPr>
          <w:i/>
        </w:rPr>
        <w:t xml:space="preserve"> et al.</w:t>
      </w:r>
      <w:r>
        <w:t>, 2018], and reliance on several assumptions such as rate of chemical transformation (denitrification and mineralization rate for nitrate) [</w:t>
      </w:r>
      <w:proofErr w:type="spellStart"/>
      <w:r>
        <w:rPr>
          <w:i/>
        </w:rPr>
        <w:t>Husic</w:t>
      </w:r>
      <w:proofErr w:type="spellEnd"/>
      <w:r>
        <w:rPr>
          <w:i/>
        </w:rPr>
        <w:t xml:space="preserve"> et al.</w:t>
      </w:r>
      <w:r>
        <w:t xml:space="preserve">, </w:t>
      </w:r>
      <w:r>
        <w:lastRenderedPageBreak/>
        <w:t>2019], homogeneous hydraulic conductivity [</w:t>
      </w:r>
      <w:r>
        <w:rPr>
          <w:i/>
        </w:rPr>
        <w:t>Carle et al.</w:t>
      </w:r>
      <w:r>
        <w:t>, 2006], soil organic content, and crop uptake dynamics [</w:t>
      </w:r>
      <w:proofErr w:type="spellStart"/>
      <w:r>
        <w:rPr>
          <w:i/>
        </w:rPr>
        <w:t>Almasri</w:t>
      </w:r>
      <w:proofErr w:type="spellEnd"/>
      <w:r>
        <w:rPr>
          <w:i/>
        </w:rPr>
        <w:t xml:space="preserve"> and </w:t>
      </w:r>
      <w:proofErr w:type="spellStart"/>
      <w:r>
        <w:rPr>
          <w:i/>
        </w:rPr>
        <w:t>Kaluarachchi</w:t>
      </w:r>
      <w:proofErr w:type="spellEnd"/>
      <w:r>
        <w:t>, 2007].</w:t>
      </w:r>
    </w:p>
    <w:p w14:paraId="1A1C8E58" w14:textId="77777777" w:rsidR="00427B52" w:rsidRDefault="00000000">
      <w:pPr>
        <w:spacing w:after="183"/>
        <w:ind w:left="-15" w:right="304"/>
      </w:pPr>
      <w:r>
        <w:t>One of the major challenges faced by most of the methods described above is the lack of spatially dense subsurface information necessary to account for soil properties that govern the rate of nitrate leaching [</w:t>
      </w:r>
      <w:proofErr w:type="spellStart"/>
      <w:r>
        <w:rPr>
          <w:i/>
        </w:rPr>
        <w:t>Taghavi</w:t>
      </w:r>
      <w:proofErr w:type="spellEnd"/>
      <w:r>
        <w:rPr>
          <w:i/>
        </w:rPr>
        <w:t xml:space="preserve"> et al.</w:t>
      </w:r>
      <w:r>
        <w:t>, 2022]. One approach to overcome this limitation is by obtaining spatially dense electric resistivity data to infer subsurface soil characteristics [</w:t>
      </w:r>
      <w:r>
        <w:rPr>
          <w:i/>
        </w:rPr>
        <w:t>Kang et al.</w:t>
      </w:r>
      <w:r>
        <w:t>, 2021]. Electric resistivity data has been used in several studies to deduct soil texture [</w:t>
      </w:r>
      <w:r>
        <w:rPr>
          <w:i/>
        </w:rPr>
        <w:t>Knight et al.</w:t>
      </w:r>
      <w:r>
        <w:t xml:space="preserve">, 2018, </w:t>
      </w:r>
      <w:r>
        <w:rPr>
          <w:i/>
        </w:rPr>
        <w:t>Christiansen et al.</w:t>
      </w:r>
      <w:r>
        <w:t>, 2014].</w:t>
      </w:r>
    </w:p>
    <w:p w14:paraId="548D92B2" w14:textId="77777777" w:rsidR="00427B52" w:rsidRDefault="00000000">
      <w:pPr>
        <w:ind w:left="-15" w:right="423"/>
      </w:pPr>
      <w:r>
        <w:t xml:space="preserve">In a recent study, </w:t>
      </w:r>
      <w:r>
        <w:rPr>
          <w:i/>
        </w:rPr>
        <w:t xml:space="preserve">Knight et al. </w:t>
      </w:r>
      <w:r>
        <w:t>[2022] utilized an electromagnetic survey conducted by an airborne helicopter to map the subsurface structure of the southern Central Valley in California. They combined borehole data with electromagnetic information to create large-scale subsurface structure maps up to a depth of 200 meters for a few sites in Central Valley [</w:t>
      </w:r>
      <w:r>
        <w:rPr>
          <w:i/>
        </w:rPr>
        <w:t>Knight et al.</w:t>
      </w:r>
      <w:r>
        <w:t xml:space="preserve">, 2018, </w:t>
      </w:r>
      <w:r>
        <w:rPr>
          <w:i/>
        </w:rPr>
        <w:t>Kang et al.</w:t>
      </w:r>
      <w:r>
        <w:t xml:space="preserve">, 2021]. According to </w:t>
      </w:r>
      <w:r>
        <w:rPr>
          <w:i/>
        </w:rPr>
        <w:t xml:space="preserve">Knight et al. </w:t>
      </w:r>
      <w:r>
        <w:t>[2022], resistivity values less than 33 indicate the presence of clay, while values above 25 typically signify the presence of sand and gravel above the water table. It’s important to note overlaps in these ranges due to inherent uncertainties. Beneath the water table, resistivity values may range from less than 16 for clay to 14-22 for mixed fine-coarse, and greater than 19 for sand [</w:t>
      </w:r>
      <w:r>
        <w:rPr>
          <w:i/>
        </w:rPr>
        <w:t>Knight et al.</w:t>
      </w:r>
      <w:r>
        <w:t xml:space="preserve">, 2022]. We leverage the relationship established by </w:t>
      </w:r>
      <w:r>
        <w:rPr>
          <w:i/>
        </w:rPr>
        <w:t xml:space="preserve">Knight et al. </w:t>
      </w:r>
      <w:r>
        <w:t>[2022] to infer the relative proportion of clay in the soil layers using resistivity data.</w:t>
      </w:r>
    </w:p>
    <w:p w14:paraId="56419081" w14:textId="77777777" w:rsidR="00427B52" w:rsidRDefault="00000000">
      <w:pPr>
        <w:ind w:left="-15" w:right="133"/>
      </w:pPr>
      <w:r>
        <w:t xml:space="preserve">The California Department of Water Resources recently conducted a state-wide electric resistivity survey using airborne helicopters or </w:t>
      </w:r>
      <w:proofErr w:type="spellStart"/>
      <w:r>
        <w:t>SkyTEM</w:t>
      </w:r>
      <w:proofErr w:type="spellEnd"/>
      <w:r>
        <w:t xml:space="preserve"> [</w:t>
      </w:r>
      <w:r>
        <w:rPr>
          <w:i/>
        </w:rPr>
        <w:t>CDWR</w:t>
      </w:r>
      <w:r>
        <w:t>, 2021] to accelerate and facilitate the establishment of groundwater sustainability in compliance with the Sustainable Groundwater Management Act (SGMA) [</w:t>
      </w:r>
      <w:r>
        <w:rPr>
          <w:i/>
        </w:rPr>
        <w:t>SGMA</w:t>
      </w:r>
      <w:r>
        <w:t>, 2014]. Previous studies in California utilizing airborne electric resistivity data primarily focused on identifying suitable locations for groundwater recharge [</w:t>
      </w:r>
      <w:r>
        <w:rPr>
          <w:i/>
        </w:rPr>
        <w:t>Knight et al.</w:t>
      </w:r>
      <w:r>
        <w:t xml:space="preserve">, 2022, </w:t>
      </w:r>
      <w:r>
        <w:rPr>
          <w:i/>
        </w:rPr>
        <w:t>Pepin et al.</w:t>
      </w:r>
      <w:r>
        <w:t xml:space="preserve">, 2022, </w:t>
      </w:r>
      <w:proofErr w:type="spellStart"/>
      <w:r>
        <w:rPr>
          <w:i/>
        </w:rPr>
        <w:t>Behroozmand</w:t>
      </w:r>
      <w:proofErr w:type="spellEnd"/>
      <w:r>
        <w:rPr>
          <w:i/>
        </w:rPr>
        <w:t xml:space="preserve"> et al.</w:t>
      </w:r>
      <w:r>
        <w:t>, 2019]. While it has been used to assess water quantity (e.g., recharge), the data hasn’t been extended to study water quality at large regional scale.</w:t>
      </w:r>
    </w:p>
    <w:p w14:paraId="4C3D3F29" w14:textId="3EA067DE" w:rsidR="00427B52" w:rsidRDefault="00000000" w:rsidP="007B6709">
      <w:pPr>
        <w:ind w:left="-15" w:right="0"/>
      </w:pPr>
      <w:r>
        <w:t xml:space="preserve">Since electric resistivity measurements provide valuable insights into subsurface properties that can influence physical processes, such as nitrate leaching, these data </w:t>
      </w:r>
      <w:r w:rsidR="007B6709">
        <w:t xml:space="preserve">could </w:t>
      </w:r>
      <w:r>
        <w:t>be harnessed to infer potential nitrate leaching. Our study represents the first evaluation of nitrate leaching potential on such a large regional scale, using an airborne electromagnetic dataset that is both costly and challenging to collect.</w:t>
      </w:r>
    </w:p>
    <w:p w14:paraId="64ACD61E" w14:textId="77777777" w:rsidR="00427B52" w:rsidRDefault="00000000">
      <w:pPr>
        <w:ind w:left="-15" w:right="167"/>
      </w:pPr>
      <w:r>
        <w:lastRenderedPageBreak/>
        <w:t>The goal of this paper is to assess whether the local subsurface soil properties near wells control nitrate pollution in California’s Central Valley groundwater to inform strategic designation of Groundwater Protection Areas. We used depth average resistivity (DAR) up to 32 m from the land surface as a metric of groundwater vulnerability. We compare DAR with the existing groundwater protection area (GWPA) over Central Valley [</w:t>
      </w:r>
      <w:r>
        <w:rPr>
          <w:i/>
        </w:rPr>
        <w:t xml:space="preserve">DaSilva and </w:t>
      </w:r>
      <w:proofErr w:type="spellStart"/>
      <w:r>
        <w:rPr>
          <w:i/>
        </w:rPr>
        <w:t>Nordmark</w:t>
      </w:r>
      <w:proofErr w:type="spellEnd"/>
      <w:r>
        <w:t>, 2022] to identify the similarities in existing map. Further, we evaluate the marginal predictive capacity of DAR to anticipate the mean nitrate levels in wells through the application of a machine learning model,</w:t>
      </w:r>
    </w:p>
    <w:p w14:paraId="559F2F03" w14:textId="63A39034" w:rsidR="00427B52" w:rsidRDefault="00000000">
      <w:pPr>
        <w:ind w:left="-15" w:right="304"/>
      </w:pPr>
      <w:r>
        <w:t xml:space="preserve">In California, most </w:t>
      </w:r>
      <w:r w:rsidR="007B6709">
        <w:t>well-known</w:t>
      </w:r>
      <w:r>
        <w:t xml:space="preserve"> regulation to protect groundwater from contamination is by designating areas as Groundwater Protection Area (GWPA) established by California Department of Pesticide Regulation (DPR) that pose restrictions on the use of certain pesticides [</w:t>
      </w:r>
      <w:r>
        <w:rPr>
          <w:i/>
        </w:rPr>
        <w:t>CDPR</w:t>
      </w:r>
      <w:r>
        <w:t>, 2023a], mandatory implementation of best management practices to reduce pesticide runoff and leaching [</w:t>
      </w:r>
      <w:r>
        <w:rPr>
          <w:i/>
        </w:rPr>
        <w:t>CDPR</w:t>
      </w:r>
      <w:r>
        <w:t>, 2023b], and requires monitoring of groundwater quality [</w:t>
      </w:r>
      <w:r>
        <w:rPr>
          <w:i/>
        </w:rPr>
        <w:t>CDPR</w:t>
      </w:r>
      <w:r>
        <w:t>, 2023c]. DPR regulates agricultural use of pesticides in 1.6 km by 1.6 square km grids [</w:t>
      </w:r>
      <w:r>
        <w:rPr>
          <w:i/>
        </w:rPr>
        <w:t>Troiano et al.</w:t>
      </w:r>
      <w:r>
        <w:t>, 2013] described by Public Lands Survey Coordinate System [</w:t>
      </w:r>
      <w:r>
        <w:rPr>
          <w:i/>
        </w:rPr>
        <w:t>Davis et al.</w:t>
      </w:r>
      <w:r>
        <w:t>, 1928].</w:t>
      </w:r>
    </w:p>
    <w:p w14:paraId="56DB786E" w14:textId="188E15FE" w:rsidR="00427B52" w:rsidRDefault="00000000">
      <w:pPr>
        <w:ind w:left="-15" w:right="304"/>
      </w:pPr>
      <w:r>
        <w:t>The DPR has established two types of Groundwater Protection Areas (GWPAs), namely leaching GWPA and runoff GWPA, as documented in [</w:t>
      </w:r>
      <w:r>
        <w:rPr>
          <w:i/>
        </w:rPr>
        <w:t>CDPR</w:t>
      </w:r>
      <w:r>
        <w:t xml:space="preserve">, 2023]. Leaching GWPAs are susceptible to non-point source contamination and are identified by the presence of pesticides, coarse </w:t>
      </w:r>
      <w:r w:rsidR="00AB2064">
        <w:t>topsoil,</w:t>
      </w:r>
      <w:r>
        <w:t xml:space="preserve"> and groundwater depth less than 21 m [</w:t>
      </w:r>
      <w:r>
        <w:rPr>
          <w:i/>
        </w:rPr>
        <w:t>CDPR</w:t>
      </w:r>
      <w:r>
        <w:t>, 2023a]. On the other hand, runoff GWPAs are characterized by hardpan soils such as ditches, dry wells, and poorly sealed wells, which allow direct flow paths to groundwater. These areas are defined by the presence of soil prone to runoff and groundwater depth less than 21 m [</w:t>
      </w:r>
      <w:r>
        <w:rPr>
          <w:i/>
        </w:rPr>
        <w:t>CDPR</w:t>
      </w:r>
      <w:r>
        <w:t>, 2023b]. To identify additional GWPAs, water quality measurements are combined with topsoil and groundwater depth data using principal component analysis to cluster regions with similar soil profiles and groundwater depths where pesticides were detected [</w:t>
      </w:r>
      <w:r>
        <w:rPr>
          <w:i/>
        </w:rPr>
        <w:t>Troiano et al.</w:t>
      </w:r>
      <w:r>
        <w:t>, 1994].</w:t>
      </w:r>
    </w:p>
    <w:p w14:paraId="3CA7F4D8" w14:textId="77777777" w:rsidR="00427B52" w:rsidRDefault="00000000">
      <w:pPr>
        <w:spacing w:after="174"/>
        <w:ind w:left="-15" w:right="304"/>
      </w:pPr>
      <w:r>
        <w:t>Although the DPR has a regulatory framework to enforce the application of pesticides in GWPAs, there is currently no similar regulatory framework to protect vulnerable areas for nitrate leaching. However, the key properties that make groundwater vulnerable to pesticides also increase nitrate vulnerability, as both pesticides and nitrate residues follow similar leaching pathways [</w:t>
      </w:r>
      <w:proofErr w:type="spellStart"/>
      <w:r>
        <w:rPr>
          <w:i/>
        </w:rPr>
        <w:t>Burow</w:t>
      </w:r>
      <w:proofErr w:type="spellEnd"/>
      <w:r>
        <w:rPr>
          <w:i/>
        </w:rPr>
        <w:t xml:space="preserve"> et al.</w:t>
      </w:r>
      <w:r>
        <w:t xml:space="preserve">, 1998]. Previous studies in the Central Valley that </w:t>
      </w:r>
      <w:r>
        <w:lastRenderedPageBreak/>
        <w:t>assessed nitrate vulnerability used the DPR GWPAs as a proxy for nitrate vulnerability [</w:t>
      </w:r>
      <w:r>
        <w:rPr>
          <w:i/>
        </w:rPr>
        <w:t>Ransom et al.</w:t>
      </w:r>
      <w:r>
        <w:t>, 2018]. While the GWPA map provides an applied framework for identifying vulnerable areas, it is limited by its coarse resolution. Therefore, a finer resolution and more robust approach is needed to identify nitrate-vulnerable areas in California.</w:t>
      </w:r>
    </w:p>
    <w:p w14:paraId="1268D6FE" w14:textId="611CC312" w:rsidR="00427B52" w:rsidRDefault="00000000">
      <w:pPr>
        <w:ind w:left="-15" w:right="304"/>
      </w:pPr>
      <w:r>
        <w:t xml:space="preserve">To evaluate nitrate vulnerability using resistivity data, </w:t>
      </w:r>
      <w:r>
        <w:rPr>
          <w:i/>
        </w:rPr>
        <w:t xml:space="preserve">Christiansen et al. </w:t>
      </w:r>
      <w:r>
        <w:t xml:space="preserve">[2014] employed the soil texture derived from resistivity data to estimate the integrated clay thickness in the top 30 m soil layers in Denmark. The authors found that areas with 03 m clay thickness closely corresponded to areas identified as vulnerable and highly vulnerable by </w:t>
      </w:r>
      <w:r w:rsidR="00AB2064">
        <w:t>Denmark</w:t>
      </w:r>
      <w:r>
        <w:t xml:space="preserve">. In our study, we adopt the concept of utilizing resistivity data in the top layers, </w:t>
      </w:r>
      <w:proofErr w:type="gramStart"/>
      <w:r>
        <w:t>similar to</w:t>
      </w:r>
      <w:proofErr w:type="gramEnd"/>
      <w:r>
        <w:t xml:space="preserve"> the method proposed by </w:t>
      </w:r>
      <w:r>
        <w:rPr>
          <w:i/>
        </w:rPr>
        <w:t xml:space="preserve">Christiansen et al. </w:t>
      </w:r>
      <w:r>
        <w:t>[2014]. However, we suggest using depth average resistivity (DAR) as a vulnerability metric, where a lower DAR suggests a higher prevalence of clay layers. Based on this, we hypothesize that areas with low DAR offer enhanced protection against leaching.</w:t>
      </w:r>
    </w:p>
    <w:p w14:paraId="5B0C7D8D" w14:textId="77777777" w:rsidR="00427B52" w:rsidRDefault="00000000">
      <w:pPr>
        <w:spacing w:after="705"/>
        <w:ind w:left="-15" w:right="465"/>
      </w:pPr>
      <w:r>
        <w:t xml:space="preserve">Instead of categorizing an area simply as vulnerable or not, our approach employs continuous values of DAR to scrutinize whether local subsurface properties near wells predominantly influence nitrate leaching. Our method provides a unique assessment on a regional scale using a novel dataset, something </w:t>
      </w:r>
      <w:proofErr w:type="gramStart"/>
      <w:r>
        <w:t>never before</w:t>
      </w:r>
      <w:proofErr w:type="gramEnd"/>
      <w:r>
        <w:t xml:space="preserve"> conducted in nitrate investigations, and crucial for enforcing regulation. Although further development is required, the insights gained from this study on nitrate leaching potential could pave the way for improved regulations regarding groundwater pollution and inform more effective enforcement strategies.</w:t>
      </w:r>
    </w:p>
    <w:p w14:paraId="09397BAB" w14:textId="77777777" w:rsidR="00427B52" w:rsidRDefault="00000000">
      <w:pPr>
        <w:pStyle w:val="Heading1"/>
        <w:ind w:left="278" w:hanging="293"/>
      </w:pPr>
      <w:r>
        <w:t>Data and Study area</w:t>
      </w:r>
    </w:p>
    <w:p w14:paraId="7D4A02BE" w14:textId="39CCF29D" w:rsidR="00427B52" w:rsidRDefault="00000000">
      <w:pPr>
        <w:ind w:left="-15" w:right="304"/>
      </w:pPr>
      <w:r>
        <w:t xml:space="preserve">The Central Valley, located in California, is surrounded by the </w:t>
      </w:r>
      <w:r w:rsidR="00AB2064">
        <w:t>Sierra Nevada Mountain</w:t>
      </w:r>
      <w:r>
        <w:t xml:space="preserve"> range in the east and the Pacific Ocean in the west. The valley is divided into three major hydrologic regions, with the Sacramento Valley located in the north and having higher surface-water flows than the drier San Joaquin and Tulare basins in the central and southern regions (Figure 1a). The relatively hot and dryer San Joaquin and Tulare basins have vast agricultural lands, leading to higher groundwater consumption and less recharge, resulting in deeper groundwater in the southern Central Valley [</w:t>
      </w:r>
      <w:proofErr w:type="spellStart"/>
      <w:r>
        <w:rPr>
          <w:i/>
        </w:rPr>
        <w:t>Jasechko</w:t>
      </w:r>
      <w:proofErr w:type="spellEnd"/>
      <w:r>
        <w:rPr>
          <w:i/>
        </w:rPr>
        <w:t xml:space="preserve"> and Perrone</w:t>
      </w:r>
      <w:r>
        <w:t>, 2020].</w:t>
      </w:r>
    </w:p>
    <w:p w14:paraId="1B5838FF" w14:textId="23010F30" w:rsidR="00427B52" w:rsidRDefault="00000000">
      <w:pPr>
        <w:ind w:left="-15" w:right="99"/>
      </w:pPr>
      <w:r>
        <w:lastRenderedPageBreak/>
        <w:t xml:space="preserve">Spanning 450 miles from north to south, Central Valley is </w:t>
      </w:r>
      <w:proofErr w:type="gramStart"/>
      <w:r>
        <w:t>a</w:t>
      </w:r>
      <w:proofErr w:type="gramEnd"/>
      <w:r>
        <w:t xml:space="preserve"> asymmetric trough composed of layered sediments with the upper portion ranging from 30-300 meters deep, which is primary source of pumped water supply [</w:t>
      </w:r>
      <w:r>
        <w:rPr>
          <w:i/>
        </w:rPr>
        <w:t>Voss et al.</w:t>
      </w:r>
      <w:r>
        <w:t xml:space="preserve">, 2019]. The geologic features across the valley vary significantly, ranging from thick clay layers such as Corcoran Clay to </w:t>
      </w:r>
      <w:r w:rsidR="00AB2064">
        <w:t>coarse-grained</w:t>
      </w:r>
      <w:r>
        <w:t xml:space="preserve"> alluvial fans, which are comprehensively discussed by </w:t>
      </w:r>
      <w:proofErr w:type="spellStart"/>
      <w:r>
        <w:rPr>
          <w:i/>
        </w:rPr>
        <w:t>Faunt</w:t>
      </w:r>
      <w:proofErr w:type="spellEnd"/>
      <w:r>
        <w:rPr>
          <w:i/>
        </w:rPr>
        <w:t xml:space="preserve"> et al. </w:t>
      </w:r>
      <w:r>
        <w:t xml:space="preserve">[2010] and </w:t>
      </w:r>
      <w:proofErr w:type="spellStart"/>
      <w:r>
        <w:rPr>
          <w:i/>
        </w:rPr>
        <w:t>Weissmann</w:t>
      </w:r>
      <w:proofErr w:type="spellEnd"/>
      <w:r>
        <w:rPr>
          <w:i/>
        </w:rPr>
        <w:t xml:space="preserve"> et al. </w:t>
      </w:r>
      <w:r>
        <w:t>[2004].</w:t>
      </w:r>
    </w:p>
    <w:p w14:paraId="228F5FC9" w14:textId="77777777" w:rsidR="00427B52" w:rsidRDefault="00000000">
      <w:pPr>
        <w:ind w:left="-15" w:right="158"/>
      </w:pPr>
      <w:r>
        <w:t>In 2021, the California Department of Water Resources (CDWR) took a proactive step toward understanding the Central Valley aquifer and implementing sustainable practices in compliance with SGMA [</w:t>
      </w:r>
      <w:r>
        <w:rPr>
          <w:i/>
        </w:rPr>
        <w:t>CDWR</w:t>
      </w:r>
      <w:r>
        <w:t>]. Through Airborne Electromagnetic (AEM) surveys conducted by a low-flying helicopter with geophysical instruments towed below at 100 ft above ground, the DWR mapped the entire Central Valley in grids spaced roughly 2 by 8 miles (1b). The resulting AEM data, available in December 2022 has been used in the current study. The AEM data provides resistivity up to around 600 m depth, where the vertical resolution decreases with depth (Figure 1b).</w:t>
      </w:r>
    </w:p>
    <w:p w14:paraId="715A70FE" w14:textId="77777777" w:rsidR="00427B52" w:rsidRDefault="00000000">
      <w:pPr>
        <w:spacing w:after="0"/>
        <w:ind w:left="-15" w:right="304"/>
      </w:pPr>
      <w:r>
        <w:t>The Groundwater Ambient Monitoring and Assessment Program (GAMA) is a comprehensive groundwater quality monitoring program developed by the CA State Water Resources Control Board (SWRCB). The GAMA database contains nitrate measurements in various types of wells, including domestic, municipal, monitoring, irrigation, and others [</w:t>
      </w:r>
      <w:r>
        <w:rPr>
          <w:i/>
        </w:rPr>
        <w:t>GAMA</w:t>
      </w:r>
      <w:r>
        <w:t xml:space="preserve">, 2023]. </w:t>
      </w:r>
      <w:proofErr w:type="gramStart"/>
      <w:r>
        <w:t>For the purpose of</w:t>
      </w:r>
      <w:proofErr w:type="gramEnd"/>
      <w:r>
        <w:t xml:space="preserve"> this study, we have aggregated all nitrate data from the GAMA database for the Central Valley region, which comprises 27876 total wells including 5179 domestic wells, 237 irrigation/industrial, 7318 municipal wells, and 14990 others (described as others or water supply in GAMA database). Since GAMA dataset has been updating, the total number of wells may vary over time. It is worth noting that the measurement frequency is relatively higher in municipal wells than in domestic wells.</w:t>
      </w:r>
    </w:p>
    <w:p w14:paraId="35ADAB59" w14:textId="77777777" w:rsidR="00427B52" w:rsidRDefault="00000000">
      <w:pPr>
        <w:spacing w:after="304" w:line="259" w:lineRule="auto"/>
        <w:ind w:left="-15" w:right="304" w:firstLine="0"/>
      </w:pPr>
      <w:r>
        <w:t>To conduct our analysis, we use the mean Nitrate-N concentration for each well.</w:t>
      </w:r>
    </w:p>
    <w:p w14:paraId="62933E89" w14:textId="5795BBA1" w:rsidR="00427B52" w:rsidRDefault="00000000" w:rsidP="007B6709">
      <w:pPr>
        <w:ind w:left="-15" w:right="304" w:firstLine="409"/>
      </w:pPr>
      <w:r>
        <w:t>Figure 2c shows spatial pattern of mean Nitrate-N concentration in the Central Valley. Mean Nitrate-N concentration is below the Maximum Contaminant Level (MCL) in most locations, but several distinct hotspots exhibit mean Nitrate-N concentrations above the MCL of 10 mg/L. These hotspots are situated in western Tulare, southern Tu</w:t>
      </w:r>
      <w:r w:rsidR="00AB2064" w:rsidRPr="00AB2064">
        <w:t xml:space="preserve"> </w:t>
      </w:r>
      <w:proofErr w:type="spellStart"/>
      <w:r w:rsidR="00AB2064">
        <w:t>lare</w:t>
      </w:r>
      <w:proofErr w:type="spellEnd"/>
      <w:r w:rsidR="00AB2064">
        <w:t xml:space="preserve">, and eastern San Joaquin regions (Figure 2c). However, there are also various areas in the San Joaquin and some locations in the Sacramento basin where Nitrate-N levels exceed the MCL. A </w:t>
      </w:r>
      <w:r w:rsidR="00AB2064">
        <w:lastRenderedPageBreak/>
        <w:t>considerable number of wells with concentrations above the MCL are domestic wells (Figure 2d)</w:t>
      </w:r>
      <w:r w:rsidR="00AB2064">
        <w:t>.</w:t>
      </w:r>
    </w:p>
    <w:p w14:paraId="45D2F95E" w14:textId="5C917FAB" w:rsidR="00427B52" w:rsidRDefault="00AB2064">
      <w:pPr>
        <w:spacing w:after="343" w:line="259" w:lineRule="auto"/>
        <w:ind w:left="394" w:right="0" w:firstLine="0"/>
      </w:pPr>
      <w:r w:rsidRPr="00AB2064">
        <w:drawing>
          <wp:inline distT="0" distB="0" distL="0" distR="0" wp14:anchorId="54DBA07B" wp14:editId="5E70F6F1">
            <wp:extent cx="4093029" cy="6650490"/>
            <wp:effectExtent l="0" t="0" r="0" b="4445"/>
            <wp:docPr id="8" name="Picture 7">
              <a:extLst xmlns:a="http://schemas.openxmlformats.org/drawingml/2006/main">
                <a:ext uri="{FF2B5EF4-FFF2-40B4-BE49-F238E27FC236}">
                  <a16:creationId xmlns:a16="http://schemas.microsoft.com/office/drawing/2014/main" id="{5FF9C731-6703-3282-1D96-F0ADE4FC1B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FF9C731-6703-3282-1D96-F0ADE4FC1BAF}"/>
                        </a:ext>
                      </a:extLst>
                    </pic:cNvPr>
                    <pic:cNvPicPr>
                      <a:picLocks noChangeAspect="1"/>
                    </pic:cNvPicPr>
                  </pic:nvPicPr>
                  <pic:blipFill>
                    <a:blip r:embed="rId7"/>
                    <a:stretch>
                      <a:fillRect/>
                    </a:stretch>
                  </pic:blipFill>
                  <pic:spPr>
                    <a:xfrm>
                      <a:off x="0" y="0"/>
                      <a:ext cx="4096940" cy="6656845"/>
                    </a:xfrm>
                    <a:prstGeom prst="rect">
                      <a:avLst/>
                    </a:prstGeom>
                  </pic:spPr>
                </pic:pic>
              </a:graphicData>
            </a:graphic>
          </wp:inline>
        </w:drawing>
      </w:r>
    </w:p>
    <w:p w14:paraId="2343AFED" w14:textId="77777777" w:rsidR="00AB2064" w:rsidRDefault="00000000" w:rsidP="00AB2064">
      <w:pPr>
        <w:ind w:left="-15" w:right="304" w:firstLine="0"/>
      </w:pPr>
      <w:r>
        <w:t>Figure 1: Geographic location of the Central Valley and survey flight lines. (a) Airborne survey flight line and major hydrologic regions. (b) Vertical resistivity in two selected flight lines Sacramento and San Joaquin. (c) Spatial distribution of mean Nitrate-N concentrations in all wells. (d) Spatial distribution of mean Nitrate-N concentrations specifically in domestic wells.</w:t>
      </w:r>
      <w:r w:rsidR="00AB2064">
        <w:t xml:space="preserve"> </w:t>
      </w:r>
    </w:p>
    <w:p w14:paraId="3B77E1B4" w14:textId="3D9FB515" w:rsidR="00427B52" w:rsidRPr="00AB2064" w:rsidRDefault="00AB2064" w:rsidP="00AB2064">
      <w:pPr>
        <w:ind w:left="-15" w:right="304" w:firstLine="0"/>
        <w:rPr>
          <w:b/>
          <w:bCs/>
        </w:rPr>
      </w:pPr>
      <w:r w:rsidRPr="00AB2064">
        <w:rPr>
          <w:b/>
          <w:bCs/>
        </w:rPr>
        <w:lastRenderedPageBreak/>
        <w:t xml:space="preserve">2. </w:t>
      </w:r>
      <w:r w:rsidR="00000000" w:rsidRPr="00AB2064">
        <w:rPr>
          <w:b/>
          <w:bCs/>
        </w:rPr>
        <w:t>Methodology</w:t>
      </w:r>
    </w:p>
    <w:p w14:paraId="011A8B83" w14:textId="17FD7325" w:rsidR="00427B52" w:rsidRDefault="00000000">
      <w:pPr>
        <w:spacing w:after="414"/>
        <w:ind w:left="-15" w:right="164"/>
      </w:pPr>
      <w:r>
        <w:t xml:space="preserve">Our approach to identifying nitrate vulnerable areas in the Central Valley uses </w:t>
      </w:r>
      <w:r w:rsidR="00AB2064">
        <w:t>high-resolution</w:t>
      </w:r>
      <w:r>
        <w:t xml:space="preserve"> electric resistivity data. We begin by estimating the depth-averaged resistivity and analyzing its relationship with nitrate concentration. We then determine the buffering effect of clay layers by estimating their thickness using different resistivity thresholds. Finally, we evaluate the predictive power and relative importance of depth average resistivity applying a machine learning model.</w:t>
      </w:r>
    </w:p>
    <w:p w14:paraId="7266E140" w14:textId="77777777" w:rsidR="00427B52" w:rsidRDefault="00000000">
      <w:pPr>
        <w:pStyle w:val="Heading2"/>
        <w:spacing w:after="309"/>
        <w:ind w:left="909" w:right="373" w:hanging="446"/>
      </w:pPr>
      <w:r>
        <w:t xml:space="preserve">Estimate Depth-Averaged Resistivity (DAR) from AEM </w:t>
      </w:r>
      <w:proofErr w:type="gramStart"/>
      <w:r>
        <w:t>data</w:t>
      </w:r>
      <w:proofErr w:type="gramEnd"/>
    </w:p>
    <w:p w14:paraId="6FDC4B16" w14:textId="77777777" w:rsidR="00427B52" w:rsidRDefault="00000000">
      <w:pPr>
        <w:spacing w:after="180"/>
        <w:ind w:left="-15" w:right="304"/>
      </w:pPr>
      <w:r>
        <w:t>We estimate the depth-averaged resistivity (DAR) using the airborne electromagnetic (AEM) data obtained from the California Department of Water Resources. The vertical resolution of the AEM data varies, with thinner layers at the top and thicker layers at greater depths.</w:t>
      </w:r>
    </w:p>
    <w:p w14:paraId="71397384" w14:textId="77777777" w:rsidR="00427B52" w:rsidRDefault="00000000">
      <w:pPr>
        <w:spacing w:after="574"/>
        <w:ind w:left="-15" w:right="304"/>
      </w:pPr>
      <w:r>
        <w:t>We use the resistivity of each layer (</w:t>
      </w:r>
      <w:proofErr w:type="spellStart"/>
      <w:r>
        <w:rPr>
          <w:i/>
        </w:rPr>
        <w:t>ρ</w:t>
      </w:r>
      <w:r>
        <w:rPr>
          <w:i/>
          <w:vertAlign w:val="subscript"/>
        </w:rPr>
        <w:t>i</w:t>
      </w:r>
      <w:proofErr w:type="spellEnd"/>
      <w:r>
        <w:t>) from the DWR AEM data and weight it against the thickness of each layer to get the depth-averaged resistivity DAR:</w:t>
      </w:r>
    </w:p>
    <w:p w14:paraId="441177C7" w14:textId="77777777" w:rsidR="00427B52" w:rsidRDefault="00000000">
      <w:pPr>
        <w:tabs>
          <w:tab w:val="center" w:pos="2958"/>
          <w:tab w:val="center" w:pos="7793"/>
        </w:tabs>
        <w:spacing w:after="125" w:line="265" w:lineRule="auto"/>
        <w:ind w:right="0" w:firstLine="0"/>
      </w:pPr>
      <w:r>
        <w:rPr>
          <w:rFonts w:ascii="Calibri" w:eastAsia="Calibri" w:hAnsi="Calibri" w:cs="Calibri"/>
          <w:sz w:val="22"/>
        </w:rPr>
        <w:tab/>
      </w:r>
      <w:r>
        <w:rPr>
          <w:noProof/>
        </w:rPr>
        <w:drawing>
          <wp:inline distT="0" distB="0" distL="0" distR="0" wp14:anchorId="34D31828" wp14:editId="21529684">
            <wp:extent cx="929640" cy="323088"/>
            <wp:effectExtent l="0" t="0" r="0" b="0"/>
            <wp:docPr id="53721" name="Picture 53721"/>
            <wp:cNvGraphicFramePr/>
            <a:graphic xmlns:a="http://schemas.openxmlformats.org/drawingml/2006/main">
              <a:graphicData uri="http://schemas.openxmlformats.org/drawingml/2006/picture">
                <pic:pic xmlns:pic="http://schemas.openxmlformats.org/drawingml/2006/picture">
                  <pic:nvPicPr>
                    <pic:cNvPr id="53721" name="Picture 53721"/>
                    <pic:cNvPicPr/>
                  </pic:nvPicPr>
                  <pic:blipFill>
                    <a:blip r:embed="rId8"/>
                    <a:stretch>
                      <a:fillRect/>
                    </a:stretch>
                  </pic:blipFill>
                  <pic:spPr>
                    <a:xfrm>
                      <a:off x="0" y="0"/>
                      <a:ext cx="929640" cy="323088"/>
                    </a:xfrm>
                    <a:prstGeom prst="rect">
                      <a:avLst/>
                    </a:prstGeom>
                  </pic:spPr>
                </pic:pic>
              </a:graphicData>
            </a:graphic>
          </wp:inline>
        </w:drawing>
      </w:r>
      <w:r>
        <w:rPr>
          <w:i/>
        </w:rPr>
        <w:t>,</w:t>
      </w:r>
      <w:r>
        <w:rPr>
          <w:i/>
        </w:rPr>
        <w:tab/>
      </w:r>
      <w:r>
        <w:t>(1)</w:t>
      </w:r>
    </w:p>
    <w:p w14:paraId="6D2CEBA0" w14:textId="77777777" w:rsidR="00427B52" w:rsidRDefault="00000000" w:rsidP="00AB2064">
      <w:pPr>
        <w:spacing w:after="354" w:line="480" w:lineRule="auto"/>
        <w:ind w:right="2459"/>
        <w:jc w:val="center"/>
      </w:pPr>
      <w:proofErr w:type="spellStart"/>
      <w:r>
        <w:rPr>
          <w:i/>
        </w:rPr>
        <w:t>i</w:t>
      </w:r>
      <w:proofErr w:type="spellEnd"/>
      <w:r>
        <w:rPr>
          <w:i/>
        </w:rPr>
        <w:t xml:space="preserve"> </w:t>
      </w:r>
      <w:r>
        <w:t>= 1</w:t>
      </w:r>
      <w:r>
        <w:rPr>
          <w:i/>
        </w:rPr>
        <w:t>,</w:t>
      </w:r>
      <w:r>
        <w:t>2</w:t>
      </w:r>
      <w:r>
        <w:rPr>
          <w:i/>
        </w:rPr>
        <w:t>,</w:t>
      </w:r>
      <w:r>
        <w:t>3</w:t>
      </w:r>
      <w:r>
        <w:rPr>
          <w:i/>
        </w:rPr>
        <w:t>,</w:t>
      </w:r>
      <w:r>
        <w:t>4</w:t>
      </w:r>
      <w:r>
        <w:rPr>
          <w:i/>
        </w:rPr>
        <w:t>,</w:t>
      </w:r>
      <w:r>
        <w:t>5</w:t>
      </w:r>
      <w:r>
        <w:rPr>
          <w:i/>
        </w:rPr>
        <w:t>,</w:t>
      </w:r>
      <w:r>
        <w:t>6</w:t>
      </w:r>
      <w:r>
        <w:rPr>
          <w:i/>
        </w:rPr>
        <w:t>,</w:t>
      </w:r>
      <w:r>
        <w:t>7</w:t>
      </w:r>
      <w:r>
        <w:rPr>
          <w:i/>
        </w:rPr>
        <w:t>,</w:t>
      </w:r>
      <w:r>
        <w:t>8</w:t>
      </w:r>
      <w:r>
        <w:rPr>
          <w:i/>
        </w:rPr>
        <w:t>,</w:t>
      </w:r>
      <w:r>
        <w:t xml:space="preserve">9 </w:t>
      </w:r>
      <w:proofErr w:type="spellStart"/>
      <w:r>
        <w:rPr>
          <w:i/>
        </w:rPr>
        <w:t>t</w:t>
      </w:r>
      <w:r>
        <w:rPr>
          <w:i/>
          <w:vertAlign w:val="subscript"/>
        </w:rPr>
        <w:t>i</w:t>
      </w:r>
      <w:proofErr w:type="spellEnd"/>
      <w:r>
        <w:rPr>
          <w:i/>
          <w:vertAlign w:val="subscript"/>
        </w:rPr>
        <w:t xml:space="preserve"> </w:t>
      </w:r>
      <w:r>
        <w:t>= 2</w:t>
      </w:r>
      <w:r>
        <w:rPr>
          <w:i/>
        </w:rPr>
        <w:t>,</w:t>
      </w:r>
      <w:r>
        <w:t>2</w:t>
      </w:r>
      <w:r>
        <w:rPr>
          <w:i/>
        </w:rPr>
        <w:t>.</w:t>
      </w:r>
      <w:r>
        <w:t>3</w:t>
      </w:r>
      <w:r>
        <w:rPr>
          <w:i/>
        </w:rPr>
        <w:t>,</w:t>
      </w:r>
      <w:r>
        <w:t>2</w:t>
      </w:r>
      <w:r>
        <w:rPr>
          <w:i/>
        </w:rPr>
        <w:t>.</w:t>
      </w:r>
      <w:r>
        <w:t>6</w:t>
      </w:r>
      <w:r>
        <w:rPr>
          <w:i/>
        </w:rPr>
        <w:t>,</w:t>
      </w:r>
      <w:r>
        <w:t>2</w:t>
      </w:r>
      <w:r>
        <w:rPr>
          <w:i/>
        </w:rPr>
        <w:t>.</w:t>
      </w:r>
      <w:r>
        <w:t>9</w:t>
      </w:r>
      <w:r>
        <w:rPr>
          <w:i/>
        </w:rPr>
        <w:t>,</w:t>
      </w:r>
      <w:r>
        <w:t>3</w:t>
      </w:r>
      <w:r>
        <w:rPr>
          <w:i/>
        </w:rPr>
        <w:t>.</w:t>
      </w:r>
      <w:r>
        <w:t>4</w:t>
      </w:r>
      <w:r>
        <w:rPr>
          <w:i/>
        </w:rPr>
        <w:t>,</w:t>
      </w:r>
      <w:r>
        <w:t>3</w:t>
      </w:r>
      <w:r>
        <w:rPr>
          <w:i/>
        </w:rPr>
        <w:t>.</w:t>
      </w:r>
      <w:r>
        <w:t>8</w:t>
      </w:r>
      <w:r>
        <w:rPr>
          <w:i/>
        </w:rPr>
        <w:t>,</w:t>
      </w:r>
      <w:r>
        <w:t>4</w:t>
      </w:r>
      <w:r>
        <w:rPr>
          <w:i/>
        </w:rPr>
        <w:t>.</w:t>
      </w:r>
      <w:r>
        <w:t>3</w:t>
      </w:r>
      <w:r>
        <w:rPr>
          <w:i/>
        </w:rPr>
        <w:t>,</w:t>
      </w:r>
      <w:r>
        <w:t>4</w:t>
      </w:r>
      <w:r>
        <w:rPr>
          <w:i/>
        </w:rPr>
        <w:t>.</w:t>
      </w:r>
      <w:r>
        <w:t>9</w:t>
      </w:r>
      <w:r>
        <w:rPr>
          <w:i/>
        </w:rPr>
        <w:t>,</w:t>
      </w:r>
      <w:r>
        <w:t>5</w:t>
      </w:r>
      <w:r>
        <w:rPr>
          <w:i/>
        </w:rPr>
        <w:t>.</w:t>
      </w:r>
      <w:r>
        <w:t>6</w:t>
      </w:r>
      <w:r>
        <w:rPr>
          <w:i/>
        </w:rPr>
        <w:t>.</w:t>
      </w:r>
    </w:p>
    <w:p w14:paraId="2998F203" w14:textId="06E6F9FE" w:rsidR="00427B52" w:rsidRDefault="00000000" w:rsidP="00AB2064">
      <w:pPr>
        <w:spacing w:after="23"/>
        <w:ind w:left="-15" w:right="589"/>
      </w:pPr>
      <w:r>
        <w:t xml:space="preserve">Here, </w:t>
      </w:r>
      <w:r>
        <w:rPr>
          <w:i/>
        </w:rPr>
        <w:t xml:space="preserve">n </w:t>
      </w:r>
      <w:r>
        <w:t xml:space="preserve">is the number of layers, with </w:t>
      </w:r>
      <w:proofErr w:type="spellStart"/>
      <w:r>
        <w:rPr>
          <w:i/>
        </w:rPr>
        <w:t>i</w:t>
      </w:r>
      <w:proofErr w:type="spellEnd"/>
      <w:r>
        <w:rPr>
          <w:i/>
        </w:rPr>
        <w:t xml:space="preserve"> </w:t>
      </w:r>
      <w:r>
        <w:t>representing the layer number that ranges from 1 to 9 for depths up to 31.9 m. The thickness of top nine layers (</w:t>
      </w:r>
      <w:proofErr w:type="spellStart"/>
      <w:r>
        <w:rPr>
          <w:i/>
        </w:rPr>
        <w:t>t</w:t>
      </w:r>
      <w:r>
        <w:rPr>
          <w:i/>
          <w:vertAlign w:val="subscript"/>
        </w:rPr>
        <w:t>i</w:t>
      </w:r>
      <w:proofErr w:type="spellEnd"/>
      <w:r>
        <w:t>) ranges from 2 to 5.622 meters. We use the DAR to analyze its relationship between nitrate concentration.</w:t>
      </w:r>
    </w:p>
    <w:p w14:paraId="163875BF" w14:textId="77777777" w:rsidR="00AB2064" w:rsidRDefault="00AB2064" w:rsidP="00AB2064">
      <w:pPr>
        <w:spacing w:after="23"/>
        <w:ind w:left="-15" w:right="589"/>
      </w:pPr>
    </w:p>
    <w:p w14:paraId="6B891B81" w14:textId="0F09E387" w:rsidR="00427B52" w:rsidRDefault="00000000">
      <w:pPr>
        <w:spacing w:after="442"/>
        <w:ind w:left="-15" w:right="304"/>
      </w:pPr>
      <w:r>
        <w:t xml:space="preserve">Our choice to focus on the top nine layers is inspired by the study by </w:t>
      </w:r>
      <w:r>
        <w:rPr>
          <w:i/>
        </w:rPr>
        <w:t xml:space="preserve">Christiansen et al. </w:t>
      </w:r>
      <w:r>
        <w:t>[2014], who estimated the integrated thickness of clay in the top 32 meters to identify vulnerable areas. However, we also examine the impacts of considering four and six layers in this analysis to identify significant differences. Despite this, we primarily present results based on the nine-layer model.</w:t>
      </w:r>
    </w:p>
    <w:p w14:paraId="05F10978" w14:textId="77777777" w:rsidR="00427B52" w:rsidRDefault="00000000">
      <w:pPr>
        <w:pStyle w:val="Heading2"/>
        <w:spacing w:after="309"/>
        <w:ind w:left="909" w:right="373" w:hanging="446"/>
      </w:pPr>
      <w:r>
        <w:lastRenderedPageBreak/>
        <w:t>Estimate thickness of clay layers</w:t>
      </w:r>
    </w:p>
    <w:p w14:paraId="0B04FFC3" w14:textId="77777777" w:rsidR="00427B52" w:rsidRDefault="00000000">
      <w:pPr>
        <w:ind w:left="-15" w:right="304"/>
      </w:pPr>
      <w:r>
        <w:t>To estimate the thickness of clay layers, we use the established relationship between soil texture and resistivity in the Central Valley, as elaborated by Knight et al. (2018). This relationship helps us infer the resistivity of clay layers, which is generally below 25, while coarse fraction decreases as resistivity is lower.</w:t>
      </w:r>
    </w:p>
    <w:p w14:paraId="59D49409" w14:textId="77777777" w:rsidR="00427B52" w:rsidRDefault="00000000">
      <w:pPr>
        <w:spacing w:after="390"/>
        <w:ind w:left="-15" w:right="304"/>
      </w:pPr>
      <w:r>
        <w:t>To calculate the thickness of clay layers, we compare the resistivity value of each layer (</w:t>
      </w:r>
      <w:proofErr w:type="spellStart"/>
      <w:r>
        <w:rPr>
          <w:i/>
        </w:rPr>
        <w:t>ρ</w:t>
      </w:r>
      <w:r>
        <w:rPr>
          <w:i/>
          <w:vertAlign w:val="subscript"/>
        </w:rPr>
        <w:t>i</w:t>
      </w:r>
      <w:proofErr w:type="spellEnd"/>
      <w:r>
        <w:t>) with a resistivity threshold value (</w:t>
      </w:r>
      <w:proofErr w:type="spellStart"/>
      <w:r>
        <w:rPr>
          <w:i/>
        </w:rPr>
        <w:t>ρ</w:t>
      </w:r>
      <w:r>
        <w:rPr>
          <w:i/>
          <w:vertAlign w:val="subscript"/>
        </w:rPr>
        <w:t>threshold</w:t>
      </w:r>
      <w:proofErr w:type="spellEnd"/>
      <w:r>
        <w:t xml:space="preserve">). We assume that layers with resistivity values below </w:t>
      </w:r>
      <w:proofErr w:type="spellStart"/>
      <w:r>
        <w:rPr>
          <w:i/>
        </w:rPr>
        <w:t>ρ</w:t>
      </w:r>
      <w:r>
        <w:rPr>
          <w:i/>
          <w:vertAlign w:val="subscript"/>
        </w:rPr>
        <w:t>threshold</w:t>
      </w:r>
      <w:proofErr w:type="spellEnd"/>
      <w:r>
        <w:rPr>
          <w:i/>
          <w:vertAlign w:val="subscript"/>
        </w:rPr>
        <w:t xml:space="preserve"> </w:t>
      </w:r>
      <w:r>
        <w:t>are predominantly composed of clay. The thickness of each clay layer (</w:t>
      </w:r>
      <w:proofErr w:type="spellStart"/>
      <w:proofErr w:type="gramStart"/>
      <w:r>
        <w:rPr>
          <w:i/>
        </w:rPr>
        <w:t>t</w:t>
      </w:r>
      <w:r>
        <w:rPr>
          <w:i/>
          <w:vertAlign w:val="subscript"/>
        </w:rPr>
        <w:t>bth,i</w:t>
      </w:r>
      <w:proofErr w:type="spellEnd"/>
      <w:proofErr w:type="gramEnd"/>
      <w:r>
        <w:t>) is then calculated using the following equation:</w:t>
      </w:r>
    </w:p>
    <w:p w14:paraId="4B3FFFF3" w14:textId="77F28C78" w:rsidR="00427B52" w:rsidRDefault="00AB2064" w:rsidP="00AB2064">
      <w:pPr>
        <w:spacing w:after="0" w:line="259" w:lineRule="auto"/>
        <w:ind w:right="0"/>
        <w:jc w:val="center"/>
      </w:pPr>
      <w:r w:rsidRPr="00AB2064">
        <w:drawing>
          <wp:inline distT="0" distB="0" distL="0" distR="0" wp14:anchorId="2F03CFDB" wp14:editId="3FA906FB">
            <wp:extent cx="3644900" cy="952500"/>
            <wp:effectExtent l="0" t="0" r="0" b="0"/>
            <wp:docPr id="291444626" name="Picture 1" descr="A picture containing text, font, handwri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44626" name="Picture 1" descr="A picture containing text, font, handwriting, white&#10;&#10;Description automatically generated"/>
                    <pic:cNvPicPr/>
                  </pic:nvPicPr>
                  <pic:blipFill>
                    <a:blip r:embed="rId9"/>
                    <a:stretch>
                      <a:fillRect/>
                    </a:stretch>
                  </pic:blipFill>
                  <pic:spPr>
                    <a:xfrm>
                      <a:off x="0" y="0"/>
                      <a:ext cx="3644900" cy="952500"/>
                    </a:xfrm>
                    <a:prstGeom prst="rect">
                      <a:avLst/>
                    </a:prstGeom>
                  </pic:spPr>
                </pic:pic>
              </a:graphicData>
            </a:graphic>
          </wp:inline>
        </w:drawing>
      </w:r>
    </w:p>
    <w:p w14:paraId="5F7D8AC7" w14:textId="77777777" w:rsidR="00427B52" w:rsidRDefault="00000000">
      <w:pPr>
        <w:spacing w:after="532"/>
        <w:ind w:left="-15" w:right="304"/>
      </w:pPr>
      <w:r>
        <w:t>The total thickness of clay layers below the resistivity threshold (</w:t>
      </w:r>
      <w:proofErr w:type="spellStart"/>
      <w:r>
        <w:rPr>
          <w:i/>
        </w:rPr>
        <w:t>t</w:t>
      </w:r>
      <w:r>
        <w:rPr>
          <w:i/>
          <w:vertAlign w:val="subscript"/>
        </w:rPr>
        <w:t>clay</w:t>
      </w:r>
      <w:proofErr w:type="spellEnd"/>
      <w:r>
        <w:t>) is then obtained by summing the thickness of all clay layers:</w:t>
      </w:r>
    </w:p>
    <w:p w14:paraId="79F91445" w14:textId="59EB28B8" w:rsidR="00AB2064" w:rsidRDefault="00AB2064" w:rsidP="00AB2064">
      <w:pPr>
        <w:spacing w:after="0"/>
        <w:ind w:left="-15" w:right="526"/>
        <w:jc w:val="center"/>
        <w:rPr>
          <w:i/>
          <w:sz w:val="14"/>
        </w:rPr>
      </w:pPr>
      <w:r w:rsidRPr="00AB2064">
        <w:rPr>
          <w:i/>
          <w:sz w:val="14"/>
        </w:rPr>
        <w:drawing>
          <wp:inline distT="0" distB="0" distL="0" distR="0" wp14:anchorId="2D85F309" wp14:editId="78A1D68E">
            <wp:extent cx="3175000" cy="711200"/>
            <wp:effectExtent l="0" t="0" r="0" b="0"/>
            <wp:docPr id="1469569415" name="Picture 1" descr="A picture containing white, font, tex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69415" name="Picture 1" descr="A picture containing white, font, text, typography&#10;&#10;Description automatically generated"/>
                    <pic:cNvPicPr/>
                  </pic:nvPicPr>
                  <pic:blipFill>
                    <a:blip r:embed="rId10"/>
                    <a:stretch>
                      <a:fillRect/>
                    </a:stretch>
                  </pic:blipFill>
                  <pic:spPr>
                    <a:xfrm>
                      <a:off x="0" y="0"/>
                      <a:ext cx="3175000" cy="711200"/>
                    </a:xfrm>
                    <a:prstGeom prst="rect">
                      <a:avLst/>
                    </a:prstGeom>
                  </pic:spPr>
                </pic:pic>
              </a:graphicData>
            </a:graphic>
          </wp:inline>
        </w:drawing>
      </w:r>
    </w:p>
    <w:p w14:paraId="116DA449" w14:textId="5D2B9D3E" w:rsidR="00427B52" w:rsidRDefault="00000000" w:rsidP="00AB2064">
      <w:pPr>
        <w:spacing w:after="0"/>
        <w:ind w:left="-15" w:right="526"/>
      </w:pPr>
      <w:r>
        <w:t xml:space="preserve">We test with different resistivity thresholds to estimate </w:t>
      </w:r>
      <w:proofErr w:type="spellStart"/>
      <w:r>
        <w:rPr>
          <w:i/>
        </w:rPr>
        <w:t>t</w:t>
      </w:r>
      <w:r>
        <w:rPr>
          <w:i/>
          <w:vertAlign w:val="subscript"/>
        </w:rPr>
        <w:t>clay</w:t>
      </w:r>
      <w:proofErr w:type="spellEnd"/>
      <w:r>
        <w:t>, which is then used to determine the effect of the thickness of clay layers on the decrease in nitrate concentration.</w:t>
      </w:r>
    </w:p>
    <w:p w14:paraId="2C4C63B8" w14:textId="77777777" w:rsidR="00AB2064" w:rsidRDefault="00AB2064" w:rsidP="00AB2064">
      <w:pPr>
        <w:spacing w:after="0"/>
        <w:ind w:left="-15" w:right="526"/>
      </w:pPr>
    </w:p>
    <w:p w14:paraId="36444C4D" w14:textId="77777777" w:rsidR="00427B52" w:rsidRDefault="00000000">
      <w:pPr>
        <w:pStyle w:val="Heading2"/>
        <w:spacing w:line="416" w:lineRule="auto"/>
        <w:ind w:left="919" w:right="373"/>
      </w:pPr>
      <w:r>
        <w:t xml:space="preserve">Machine learning model application to evaluate influence of resistivity on prediction </w:t>
      </w:r>
      <w:proofErr w:type="gramStart"/>
      <w:r>
        <w:t>accuracy</w:t>
      </w:r>
      <w:proofErr w:type="gramEnd"/>
    </w:p>
    <w:p w14:paraId="75300042" w14:textId="77777777" w:rsidR="00427B52" w:rsidRDefault="00000000">
      <w:pPr>
        <w:ind w:left="-15" w:right="304"/>
      </w:pPr>
      <w:r>
        <w:t>To assess the relative significance of depth average resistivity in comparison to other variables for the prediction of mean Nitrate-N in wells, we employ the widely utilized machine learning algorithm known as Random Forest [</w:t>
      </w:r>
      <w:r>
        <w:rPr>
          <w:i/>
        </w:rPr>
        <w:t>Segal</w:t>
      </w:r>
      <w:r>
        <w:t>, 2004].</w:t>
      </w:r>
    </w:p>
    <w:p w14:paraId="4D86DF75" w14:textId="77777777" w:rsidR="00427B52" w:rsidRDefault="00000000">
      <w:pPr>
        <w:spacing w:after="706"/>
        <w:ind w:left="-15" w:right="447"/>
      </w:pPr>
      <w:r>
        <w:t xml:space="preserve">Random Forest is </w:t>
      </w:r>
      <w:proofErr w:type="spellStart"/>
      <w:proofErr w:type="gramStart"/>
      <w:r>
        <w:t>a</w:t>
      </w:r>
      <w:proofErr w:type="spellEnd"/>
      <w:proofErr w:type="gramEnd"/>
      <w:r>
        <w:t xml:space="preserve"> ensemble learning technique that is known to be able to handle complex interactions and multicollinearity effectively (</w:t>
      </w:r>
      <w:proofErr w:type="spellStart"/>
      <w:r>
        <w:t>Breiman</w:t>
      </w:r>
      <w:proofErr w:type="spellEnd"/>
      <w:r>
        <w:t xml:space="preserve">, 2001). The Random Forest algorithm uses multiple decision trees and combines their results. Each decision tree </w:t>
      </w:r>
      <w:r>
        <w:rPr>
          <w:i/>
        </w:rPr>
        <w:t xml:space="preserve">t </w:t>
      </w:r>
      <w:r>
        <w:t xml:space="preserve">in </w:t>
      </w:r>
      <w:r>
        <w:lastRenderedPageBreak/>
        <w:t xml:space="preserve">the forest makes a prediction of </w:t>
      </w:r>
      <w:proofErr w:type="spellStart"/>
      <w:r>
        <w:rPr>
          <w:i/>
        </w:rPr>
        <w:t>y</w:t>
      </w:r>
      <w:r>
        <w:rPr>
          <w:i/>
          <w:vertAlign w:val="subscript"/>
        </w:rPr>
        <w:t>t</w:t>
      </w:r>
      <w:proofErr w:type="spellEnd"/>
      <w:r>
        <w:t xml:space="preserve">. The target variable </w:t>
      </w:r>
      <w:proofErr w:type="spellStart"/>
      <w:r>
        <w:rPr>
          <w:i/>
        </w:rPr>
        <w:t>y</w:t>
      </w:r>
      <w:r>
        <w:rPr>
          <w:i/>
          <w:vertAlign w:val="subscript"/>
        </w:rPr>
        <w:t>t</w:t>
      </w:r>
      <w:proofErr w:type="spellEnd"/>
      <w:r>
        <w:rPr>
          <w:i/>
          <w:vertAlign w:val="subscript"/>
        </w:rPr>
        <w:t xml:space="preserve"> </w:t>
      </w:r>
      <w:r>
        <w:t xml:space="preserve">of an individual tree </w:t>
      </w:r>
      <w:r>
        <w:rPr>
          <w:i/>
        </w:rPr>
        <w:t xml:space="preserve">t </w:t>
      </w:r>
      <w:r>
        <w:t xml:space="preserve">depends on the values of the input features </w:t>
      </w:r>
      <w:r>
        <w:rPr>
          <w:i/>
        </w:rPr>
        <w:t xml:space="preserve">X </w:t>
      </w:r>
      <w:r>
        <w:t xml:space="preserve">= </w:t>
      </w:r>
      <w:r>
        <w:rPr>
          <w:i/>
        </w:rPr>
        <w:t>x</w:t>
      </w:r>
      <w:proofErr w:type="gramStart"/>
      <w:r>
        <w:rPr>
          <w:vertAlign w:val="subscript"/>
        </w:rPr>
        <w:t>1</w:t>
      </w:r>
      <w:r>
        <w:rPr>
          <w:i/>
        </w:rPr>
        <w:t>,x</w:t>
      </w:r>
      <w:proofErr w:type="gramEnd"/>
      <w:r>
        <w:rPr>
          <w:vertAlign w:val="subscript"/>
        </w:rPr>
        <w:t>2</w:t>
      </w:r>
      <w:r>
        <w:rPr>
          <w:i/>
        </w:rPr>
        <w:t>,...,</w:t>
      </w:r>
      <w:proofErr w:type="spellStart"/>
      <w:r>
        <w:rPr>
          <w:i/>
        </w:rPr>
        <w:t>x</w:t>
      </w:r>
      <w:r>
        <w:rPr>
          <w:i/>
          <w:vertAlign w:val="subscript"/>
        </w:rPr>
        <w:t>n</w:t>
      </w:r>
      <w:proofErr w:type="spellEnd"/>
      <w:r>
        <w:rPr>
          <w:i/>
          <w:vertAlign w:val="subscript"/>
        </w:rPr>
        <w:t xml:space="preserve"> </w:t>
      </w:r>
      <w:r>
        <w:t xml:space="preserve">in its leaf node </w:t>
      </w:r>
      <w:r>
        <w:rPr>
          <w:i/>
        </w:rPr>
        <w:t>l</w:t>
      </w:r>
      <w:r>
        <w:t>:</w:t>
      </w:r>
    </w:p>
    <w:p w14:paraId="4A377288" w14:textId="77777777" w:rsidR="00427B52" w:rsidRDefault="00000000">
      <w:pPr>
        <w:tabs>
          <w:tab w:val="center" w:pos="3960"/>
          <w:tab w:val="center" w:pos="7793"/>
        </w:tabs>
        <w:spacing w:after="447" w:line="265" w:lineRule="auto"/>
        <w:ind w:right="0" w:firstLine="0"/>
      </w:pPr>
      <w:r>
        <w:rPr>
          <w:rFonts w:ascii="Calibri" w:eastAsia="Calibri" w:hAnsi="Calibri" w:cs="Calibri"/>
          <w:sz w:val="22"/>
        </w:rPr>
        <w:tab/>
      </w:r>
      <w:proofErr w:type="spellStart"/>
      <w:r>
        <w:rPr>
          <w:i/>
        </w:rPr>
        <w:t>y</w:t>
      </w:r>
      <w:r>
        <w:rPr>
          <w:i/>
          <w:vertAlign w:val="subscript"/>
        </w:rPr>
        <w:t>t</w:t>
      </w:r>
      <w:proofErr w:type="spellEnd"/>
      <w:r>
        <w:rPr>
          <w:i/>
          <w:vertAlign w:val="subscript"/>
        </w:rPr>
        <w:t xml:space="preserve"> </w:t>
      </w:r>
      <w:r>
        <w:t xml:space="preserve">= </w:t>
      </w:r>
      <w:proofErr w:type="spellStart"/>
      <w:r>
        <w:rPr>
          <w:i/>
        </w:rPr>
        <w:t>g</w:t>
      </w:r>
      <w:r>
        <w:rPr>
          <w:i/>
          <w:vertAlign w:val="subscript"/>
        </w:rPr>
        <w:t>t</w:t>
      </w:r>
      <w:proofErr w:type="spellEnd"/>
      <w:r>
        <w:t>(</w:t>
      </w:r>
      <w:r>
        <w:rPr>
          <w:i/>
        </w:rPr>
        <w:t>l</w:t>
      </w:r>
      <w:r>
        <w:t>(</w:t>
      </w:r>
      <w:r>
        <w:rPr>
          <w:i/>
        </w:rPr>
        <w:t>X</w:t>
      </w:r>
      <w:r>
        <w:t>))</w:t>
      </w:r>
      <w:r>
        <w:tab/>
        <w:t>(4)</w:t>
      </w:r>
    </w:p>
    <w:p w14:paraId="4C319BE1" w14:textId="77777777" w:rsidR="00427B52" w:rsidRDefault="00000000">
      <w:pPr>
        <w:spacing w:after="350" w:line="259" w:lineRule="auto"/>
        <w:ind w:left="478" w:right="304" w:firstLine="0"/>
      </w:pPr>
      <w:r>
        <w:t xml:space="preserve">where </w:t>
      </w:r>
      <w:proofErr w:type="spellStart"/>
      <w:r>
        <w:rPr>
          <w:i/>
        </w:rPr>
        <w:t>g</w:t>
      </w:r>
      <w:r>
        <w:rPr>
          <w:i/>
          <w:vertAlign w:val="subscript"/>
        </w:rPr>
        <w:t>t</w:t>
      </w:r>
      <w:proofErr w:type="spellEnd"/>
      <w:r>
        <w:t>(</w:t>
      </w:r>
      <w:r>
        <w:rPr>
          <w:i/>
        </w:rPr>
        <w:t>l</w:t>
      </w:r>
      <w:r>
        <w:t xml:space="preserve">) is the prediction function of the tree </w:t>
      </w:r>
      <w:r>
        <w:rPr>
          <w:i/>
        </w:rPr>
        <w:t xml:space="preserve">t </w:t>
      </w:r>
      <w:r>
        <w:t xml:space="preserve">for a leaf node </w:t>
      </w:r>
      <w:r>
        <w:rPr>
          <w:i/>
        </w:rPr>
        <w:t>l</w:t>
      </w:r>
      <w:r>
        <w:t>.</w:t>
      </w:r>
    </w:p>
    <w:p w14:paraId="2635E3BA" w14:textId="77777777" w:rsidR="00427B52" w:rsidRDefault="00000000">
      <w:pPr>
        <w:ind w:left="-15" w:right="304"/>
      </w:pPr>
      <w:r>
        <w:t>Our target variable for prediction (</w:t>
      </w:r>
      <w:proofErr w:type="spellStart"/>
      <w:r>
        <w:rPr>
          <w:i/>
        </w:rPr>
        <w:t>y</w:t>
      </w:r>
      <w:r>
        <w:rPr>
          <w:i/>
          <w:vertAlign w:val="subscript"/>
        </w:rPr>
        <w:t>t</w:t>
      </w:r>
      <w:proofErr w:type="spellEnd"/>
      <w:r>
        <w:t>) was the mean nitrate concentration in wells. To normalize its distribution, we performed a logarithmic transformation on the mean nitrate values. Prior to this transformation, we replaced any zero values with a very small positive number to avoid undefined values.</w:t>
      </w:r>
    </w:p>
    <w:p w14:paraId="7C6E1A01" w14:textId="77777777" w:rsidR="00427B52" w:rsidRDefault="00000000">
      <w:pPr>
        <w:spacing w:after="180"/>
        <w:ind w:left="-15" w:right="304"/>
      </w:pPr>
      <w:r>
        <w:t>To construct our Random Forest model, we selected pertinent information to serve as features (</w:t>
      </w:r>
      <w:r>
        <w:rPr>
          <w:i/>
        </w:rPr>
        <w:t>X</w:t>
      </w:r>
      <w:r>
        <w:t xml:space="preserve">). Most of these features were derived from the study conducted by </w:t>
      </w:r>
      <w:r>
        <w:rPr>
          <w:i/>
        </w:rPr>
        <w:t xml:space="preserve">Ransom et al. </w:t>
      </w:r>
      <w:r>
        <w:t xml:space="preserve">[2017], in which nitrate levels were predicted using the </w:t>
      </w:r>
      <w:proofErr w:type="spellStart"/>
      <w:r>
        <w:t>XGBoost</w:t>
      </w:r>
      <w:proofErr w:type="spellEnd"/>
      <w:r>
        <w:t xml:space="preserve"> technique.</w:t>
      </w:r>
    </w:p>
    <w:p w14:paraId="26E8847D" w14:textId="77777777" w:rsidR="00427B52" w:rsidRDefault="00000000">
      <w:pPr>
        <w:spacing w:after="174"/>
        <w:ind w:left="-15" w:right="221"/>
      </w:pPr>
      <w:r>
        <w:t xml:space="preserve">We incorporated nine features from </w:t>
      </w:r>
      <w:r>
        <w:rPr>
          <w:i/>
        </w:rPr>
        <w:t xml:space="preserve">Ransom et al. </w:t>
      </w:r>
      <w:r>
        <w:t xml:space="preserve">[2017], which include total landscape nitrogen input from both farm and non-farm fertilizers, two redox variables (the probability of manganese (Mn) concentration exceeding 50 ppb and the probability of dissolved oxygen concentration falling below 0.5 ppm), the California Augmented </w:t>
      </w:r>
      <w:proofErr w:type="spellStart"/>
      <w:r>
        <w:t>MultiSource</w:t>
      </w:r>
      <w:proofErr w:type="spellEnd"/>
      <w:r>
        <w:t xml:space="preserve"> Land use (CAML) in 1990, the Central Valley Hydrologic Model’s (CVHM) estimated mean annual natural groundwater recharge (mm/year, water year 1999–2000), the CVHM’s estimated depth below the ground surface to the water table, the low value for the range in depth to the seasonally high water table (ft), the distance to the river, and the normalized distance from the valley axis to the valley wall. Additionally, we added a feature indicating the well types (i.e., domestic, municipal, industrial/irrigation, water supply) using integer values. To ensure data quality, we cleansed the dataset by eliminating any wells with missing values.</w:t>
      </w:r>
    </w:p>
    <w:p w14:paraId="412F6715" w14:textId="77777777" w:rsidR="00427B52" w:rsidRDefault="00000000">
      <w:pPr>
        <w:spacing w:after="0"/>
        <w:ind w:left="-15" w:right="304"/>
      </w:pPr>
      <w:r>
        <w:t xml:space="preserve">Our data was randomly partitioned into training and test sets with 80% − 20% split. The test sets </w:t>
      </w:r>
      <w:proofErr w:type="gramStart"/>
      <w:r>
        <w:t>is</w:t>
      </w:r>
      <w:proofErr w:type="gramEnd"/>
      <w:r>
        <w:t xml:space="preserve"> kept untouched during model hyperparameter tuning and used to evaluate the model performance identified as best fit model after hyperparameter tun-</w:t>
      </w:r>
    </w:p>
    <w:p w14:paraId="529268E5" w14:textId="77777777" w:rsidR="00427B52" w:rsidRDefault="00000000">
      <w:pPr>
        <w:spacing w:line="259" w:lineRule="auto"/>
        <w:ind w:left="-15" w:right="304" w:firstLine="0"/>
      </w:pPr>
      <w:proofErr w:type="spellStart"/>
      <w:r>
        <w:t>ing</w:t>
      </w:r>
      <w:proofErr w:type="spellEnd"/>
      <w:r>
        <w:t>.</w:t>
      </w:r>
    </w:p>
    <w:p w14:paraId="55CEF1FB" w14:textId="77777777" w:rsidR="00427B52" w:rsidRDefault="00000000">
      <w:pPr>
        <w:ind w:left="-15" w:right="400"/>
      </w:pPr>
      <w:proofErr w:type="gramStart"/>
      <w:r>
        <w:t>In order to</w:t>
      </w:r>
      <w:proofErr w:type="gramEnd"/>
      <w:r>
        <w:t xml:space="preserve"> optimize the hyperparameters of our model, we conducted a grid search using </w:t>
      </w:r>
      <w:proofErr w:type="spellStart"/>
      <w:r>
        <w:t>GridSearchCV</w:t>
      </w:r>
      <w:proofErr w:type="spellEnd"/>
      <w:r>
        <w:t xml:space="preserve"> from scikit-learn library in python. These hyperparameters encompassed the number of estimators (trees), the maximum depth of the trees, the </w:t>
      </w:r>
      <w:r>
        <w:lastRenderedPageBreak/>
        <w:t>minimum number of samples required to split a node, the minimum number of samples required at each leaf node, and the number of features to consider when looking for the best split.</w:t>
      </w:r>
    </w:p>
    <w:p w14:paraId="3E1B4DDC" w14:textId="3E64BD0E" w:rsidR="00AB2064" w:rsidRDefault="00000000" w:rsidP="007B6709">
      <w:pPr>
        <w:ind w:left="-15" w:right="391"/>
      </w:pPr>
      <w:r>
        <w:t xml:space="preserve">A 3-fold cross-validation was employed during the grid search, which was designed to identify the model that minimized the mean squared error. During grid search, each combination of hyperparameters is evaluated using cross-validation, and the best model is selected based on the average cross-validation score. In our case with 3-fold cross validation, the training data is split into 3 equal parts, or </w:t>
      </w:r>
      <w:r w:rsidR="00AB2064">
        <w:t>“</w:t>
      </w:r>
      <w:r>
        <w:t>folds</w:t>
      </w:r>
      <w:r w:rsidR="00AB2064">
        <w:t>”</w:t>
      </w:r>
      <w:r>
        <w:t>. For each round of training and validation, two of these folds are used for training, and one is used for validation</w:t>
      </w:r>
      <w:r w:rsidR="007B6709">
        <w:t>.</w:t>
      </w:r>
    </w:p>
    <w:p w14:paraId="652AAD1D" w14:textId="77777777" w:rsidR="007B6709" w:rsidRDefault="00000000" w:rsidP="007B6709">
      <w:pPr>
        <w:ind w:left="-15" w:right="304"/>
      </w:pPr>
      <w:r>
        <w:t>We evaluated the performance of our model using mean Absolute Error (MAE). The MAE represented the average absolute difference between the predicted and actual</w:t>
      </w:r>
      <w:r w:rsidR="00AB2064">
        <w:t xml:space="preserve"> </w:t>
      </w:r>
      <w:r>
        <w:t>values.</w:t>
      </w:r>
    </w:p>
    <w:p w14:paraId="788E747B" w14:textId="4E1A61E7" w:rsidR="00427B52" w:rsidRDefault="00000000" w:rsidP="007B6709">
      <w:pPr>
        <w:spacing w:after="0"/>
        <w:ind w:left="-15" w:right="304"/>
      </w:pPr>
      <w:r>
        <w:t>By comparing the MAE of models with and without the inclusion of depth average resistivity, we can approximate the contribution of this variable to the prediction of nitrate levels. This approach might consequently illuminate the significance of depth average resistivity in identifying areas prone to nitrate leaching.</w:t>
      </w:r>
    </w:p>
    <w:p w14:paraId="0C177BF6" w14:textId="77777777" w:rsidR="00427B52" w:rsidRDefault="00000000">
      <w:pPr>
        <w:pStyle w:val="Heading1"/>
        <w:ind w:left="278" w:hanging="293"/>
      </w:pPr>
      <w:r>
        <w:t>Results</w:t>
      </w:r>
    </w:p>
    <w:p w14:paraId="7BFB47C8" w14:textId="77777777" w:rsidR="00427B52" w:rsidRDefault="00000000">
      <w:pPr>
        <w:pStyle w:val="Heading2"/>
        <w:spacing w:line="416" w:lineRule="auto"/>
        <w:ind w:left="919" w:right="373"/>
      </w:pPr>
      <w:r>
        <w:t xml:space="preserve">Geophysical data indicates reduced nitrate load at low resistivity but no clear trend beyond low </w:t>
      </w:r>
      <w:proofErr w:type="gramStart"/>
      <w:r>
        <w:t>resistivity</w:t>
      </w:r>
      <w:proofErr w:type="gramEnd"/>
    </w:p>
    <w:p w14:paraId="2F8BFDE1" w14:textId="1501ED6D" w:rsidR="00427B52" w:rsidRDefault="00000000" w:rsidP="007B6709">
      <w:pPr>
        <w:ind w:left="-15" w:right="376"/>
      </w:pPr>
      <w:r>
        <w:t xml:space="preserve">Clay and other fine-grained natural soils can help protect aquifers from contamination by degrading cationic pollutants, such as nitrate, in groundwater [e.g., </w:t>
      </w:r>
      <w:proofErr w:type="spellStart"/>
      <w:r>
        <w:rPr>
          <w:i/>
        </w:rPr>
        <w:t>Lazaratou</w:t>
      </w:r>
      <w:proofErr w:type="spellEnd"/>
      <w:r>
        <w:rPr>
          <w:i/>
        </w:rPr>
        <w:t xml:space="preserve"> et al.</w:t>
      </w:r>
      <w:r>
        <w:t xml:space="preserve">, 2020]. Some clay minerals in the kaolin or bentonite groups as well as </w:t>
      </w:r>
      <w:proofErr w:type="spellStart"/>
      <w:r>
        <w:t>palygorskite</w:t>
      </w:r>
      <w:proofErr w:type="spellEnd"/>
      <w:r>
        <w:t xml:space="preserve"> and sepiolite have high sorption capacity and are hence commonly used in environmental applications and nitrate removal [</w:t>
      </w:r>
      <w:proofErr w:type="spellStart"/>
      <w:r>
        <w:rPr>
          <w:i/>
        </w:rPr>
        <w:t>Koutsopoulou</w:t>
      </w:r>
      <w:proofErr w:type="spellEnd"/>
      <w:r>
        <w:rPr>
          <w:i/>
        </w:rPr>
        <w:t xml:space="preserve"> et al.</w:t>
      </w:r>
      <w:r>
        <w:t>, 2010]. In contrast, most naturally occurring clays are mixtures of different clay minerals and tend to have low to medium anion absorption capacity, but their high surface area and ion exchange capacity helps reduce nitrate leaching as compared to other soil types [</w:t>
      </w:r>
      <w:proofErr w:type="spellStart"/>
      <w:r>
        <w:rPr>
          <w:i/>
        </w:rPr>
        <w:t>Kalinski</w:t>
      </w:r>
      <w:proofErr w:type="spellEnd"/>
      <w:r>
        <w:rPr>
          <w:i/>
        </w:rPr>
        <w:t xml:space="preserve"> et al.</w:t>
      </w:r>
      <w:r>
        <w:t>,</w:t>
      </w:r>
      <w:r w:rsidR="00AB2064">
        <w:t xml:space="preserve"> </w:t>
      </w:r>
      <w:r>
        <w:t xml:space="preserve">1993]. While clay is difficult to detect directly, low soil </w:t>
      </w:r>
      <w:r w:rsidR="00AB2064">
        <w:t>resistivity</w:t>
      </w:r>
      <w:r>
        <w:t xml:space="preserve"> is one possible, if indirect proxy of clay content. We hence hypothesize that areas with low soil resistivity are less prone to nitrate leaching. To test our hypothesis, we analyze the correlation between Nitrate-N concentration and resistivity data.</w:t>
      </w:r>
    </w:p>
    <w:p w14:paraId="28977064" w14:textId="77777777" w:rsidR="00427B52" w:rsidRDefault="00000000">
      <w:pPr>
        <w:spacing w:after="139" w:line="265" w:lineRule="auto"/>
        <w:ind w:left="10" w:right="242" w:hanging="10"/>
        <w:jc w:val="right"/>
      </w:pPr>
      <w:r>
        <w:t>Figure 2a-b shows the relationship between depth-averaged resistivity (approximately</w:t>
      </w:r>
    </w:p>
    <w:p w14:paraId="54BF6306" w14:textId="77777777" w:rsidR="00427B52" w:rsidRDefault="00000000">
      <w:pPr>
        <w:ind w:left="-15" w:right="304" w:firstLine="0"/>
      </w:pPr>
      <w:r>
        <w:lastRenderedPageBreak/>
        <w:t>32m) and the mean Nitrate-N concentration across all wells (a) as well as domestic wells (b). A boxplot representation is used to depict the mean Nitrate-N concentration for each well, plotted against the depth-averaged resistivity at intervals of 5 Ω</w:t>
      </w:r>
      <w:r>
        <w:rPr>
          <w:i/>
        </w:rPr>
        <w:t xml:space="preserve">m </w:t>
      </w:r>
      <w:r>
        <w:t>across a range of 0-70 Ω</w:t>
      </w:r>
      <w:r>
        <w:rPr>
          <w:i/>
        </w:rPr>
        <w:t>m</w:t>
      </w:r>
      <w:r>
        <w:t>.</w:t>
      </w:r>
    </w:p>
    <w:p w14:paraId="4D46CDF2" w14:textId="03D24908" w:rsidR="00427B52" w:rsidRDefault="00000000">
      <w:pPr>
        <w:ind w:left="-15" w:right="398"/>
      </w:pPr>
      <w:r>
        <w:t xml:space="preserve">Our analysis reveals that the median nitrate concentration in all wells tends to increase with depth-averaged resistivity for low to intermediate resistivity, but the distribution is wide (Figure 2a). The rate of increase is most pronounced at the two lowest resistivity levels up to </w:t>
      </w:r>
      <w:r>
        <w:rPr>
          <w:i/>
        </w:rPr>
        <w:t>&lt;</w:t>
      </w:r>
      <w:r>
        <w:t>= 10 Ω</w:t>
      </w:r>
      <w:r>
        <w:rPr>
          <w:i/>
        </w:rPr>
        <w:t>m</w:t>
      </w:r>
      <w:r>
        <w:t>. Beyond 10 Ω</w:t>
      </w:r>
      <w:r>
        <w:rPr>
          <w:i/>
        </w:rPr>
        <w:t>m</w:t>
      </w:r>
      <w:r>
        <w:t>, there no longer is a discernible trend connecting mean nitrate and depth-average resistivity. For domestic wells, only the lowest resistivity level of 0−5 Ω−</w:t>
      </w:r>
      <w:r>
        <w:rPr>
          <w:i/>
        </w:rPr>
        <w:t xml:space="preserve">m </w:t>
      </w:r>
      <w:r>
        <w:t xml:space="preserve">exhibits notably reduced mean nitrate with </w:t>
      </w:r>
      <w:r w:rsidR="00AB2064">
        <w:t>no</w:t>
      </w:r>
      <w:r>
        <w:t xml:space="preserve"> discernible trend beyond that (Figure 2b). For increasing resistivity values, which correlate with an expansion of the coarse fraction due to a heightened prevalence of sand and gravel, we do not observe a corresponding increase in nitrate levels.</w:t>
      </w:r>
    </w:p>
    <w:p w14:paraId="3057A4EA" w14:textId="77777777" w:rsidR="00427B52" w:rsidRDefault="00000000">
      <w:pPr>
        <w:ind w:left="-15" w:right="304"/>
      </w:pPr>
      <w:r>
        <w:t>These observations suggest that a potentially mitigating effect of clay and other fine-grained soil components on nitrate leaching is limited to low resistivity levels and might be spatially heterogeneous. One possible explanation is that depth-averaged resistivity is an imperfect metric of clay abundance and that some clay minerals might be more effective at preventing nitrate leaching than others.</w:t>
      </w:r>
    </w:p>
    <w:p w14:paraId="2D5E8358" w14:textId="77777777" w:rsidR="00427B52" w:rsidRDefault="00000000">
      <w:pPr>
        <w:ind w:left="-15" w:right="365"/>
      </w:pPr>
      <w:r>
        <w:t>As demonstrated in Figure 2a-b, the nitrate concentration does not exhibit a correlation with resistivity in regions characterized by relatively high depth-average resistivity. In such areas, the influence of clay layers on nitrate leaching might be minimal, suggesting that nitrate leaching likely occurs in a conservative manner. This implies that the nitrate would predominantly be transported by recharged water into the groundwater system without undergoing significant decay. Under these circumstances, we posit that the nitrate leaching could be more dominantly influenced by the surface application amount and crop removal, rather than soil properties in such high resistivity region.</w:t>
      </w:r>
    </w:p>
    <w:p w14:paraId="1DE194BF" w14:textId="4A27DC1A" w:rsidR="00427B52" w:rsidRDefault="007B6709">
      <w:pPr>
        <w:spacing w:after="340" w:line="259" w:lineRule="auto"/>
        <w:ind w:left="1" w:right="0" w:firstLine="0"/>
      </w:pPr>
      <w:r w:rsidRPr="007B6709">
        <w:lastRenderedPageBreak/>
        <w:drawing>
          <wp:inline distT="0" distB="0" distL="0" distR="0" wp14:anchorId="7633B6AC" wp14:editId="215B69A0">
            <wp:extent cx="5193030" cy="5648325"/>
            <wp:effectExtent l="0" t="0" r="1270" b="3175"/>
            <wp:docPr id="6" name="Picture 5">
              <a:extLst xmlns:a="http://schemas.openxmlformats.org/drawingml/2006/main">
                <a:ext uri="{FF2B5EF4-FFF2-40B4-BE49-F238E27FC236}">
                  <a16:creationId xmlns:a16="http://schemas.microsoft.com/office/drawing/2014/main" id="{3AA91005-17A3-4A09-7FA4-4FAD81627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A91005-17A3-4A09-7FA4-4FAD81627DBA}"/>
                        </a:ext>
                      </a:extLst>
                    </pic:cNvPr>
                    <pic:cNvPicPr>
                      <a:picLocks noChangeAspect="1"/>
                    </pic:cNvPicPr>
                  </pic:nvPicPr>
                  <pic:blipFill>
                    <a:blip r:embed="rId11"/>
                    <a:stretch>
                      <a:fillRect/>
                    </a:stretch>
                  </pic:blipFill>
                  <pic:spPr>
                    <a:xfrm>
                      <a:off x="0" y="0"/>
                      <a:ext cx="5193030" cy="5648325"/>
                    </a:xfrm>
                    <a:prstGeom prst="rect">
                      <a:avLst/>
                    </a:prstGeom>
                  </pic:spPr>
                </pic:pic>
              </a:graphicData>
            </a:graphic>
          </wp:inline>
        </w:drawing>
      </w:r>
    </w:p>
    <w:p w14:paraId="72142BB1" w14:textId="5C36F6CE" w:rsidR="00427B52" w:rsidRDefault="00000000">
      <w:pPr>
        <w:ind w:left="-15" w:right="304" w:firstLine="0"/>
      </w:pPr>
      <w:r>
        <w:t xml:space="preserve">Figure 2: Exploring the relationship between depth-averaged resistivity (∼32m) and Nitrate-N concentrations. (a) Box plot illustrating mean Nitrate-N levels across all wells for resistivity intervals ranging from 0 to 50 Ωm. (b) Box plot showcasing mean Nitrate-N levels in domestic wells, also with resistivity intervals from 0 to 70 Ωm. (c) Spatial distribution of depth-average resistivity (∼32m). (d) Subset of regions colored based on depth average resistivity (∼32m). Locations without color indicates either resistivity is higher than 15 or places with high salinity in the west part of the </w:t>
      </w:r>
      <w:r w:rsidR="00AB2064">
        <w:t>valley.</w:t>
      </w:r>
    </w:p>
    <w:p w14:paraId="0ADD0A02" w14:textId="77777777" w:rsidR="00427B52" w:rsidRDefault="00000000">
      <w:pPr>
        <w:ind w:left="-15" w:right="211"/>
      </w:pPr>
      <w:r>
        <w:t>Figure 2c depicts the spatial distribution of depth-averaged resistivity (approximately 32m) throughout the Central Valley. The range of this depth-averaged resistivity spans from 0 to 50 Ω</w:t>
      </w:r>
      <w:r>
        <w:rPr>
          <w:i/>
        </w:rPr>
        <w:t>m</w:t>
      </w:r>
      <w:r>
        <w:t>. Any depth-averaged resistivity values exceeding 50 Ω</w:t>
      </w:r>
      <w:r>
        <w:rPr>
          <w:i/>
        </w:rPr>
        <w:t xml:space="preserve">m </w:t>
      </w:r>
      <w:r>
        <w:t>are represented as 50 Ω</w:t>
      </w:r>
      <w:r>
        <w:rPr>
          <w:i/>
        </w:rPr>
        <w:t xml:space="preserve">m </w:t>
      </w:r>
      <w:r>
        <w:lastRenderedPageBreak/>
        <w:t>within the figure. There are certain regions within the Central Valley, including cities, where measurements are unavailable. These areas are represented in Figure 2c as colorless zones.</w:t>
      </w:r>
    </w:p>
    <w:p w14:paraId="5CD5A6FF" w14:textId="7D76ACFF" w:rsidR="00427B52" w:rsidRDefault="00000000">
      <w:pPr>
        <w:ind w:left="-15" w:right="304"/>
      </w:pPr>
      <w:r>
        <w:t xml:space="preserve">The spatial distribution of depth-averaged resistivity shows a varying resistivity </w:t>
      </w:r>
      <w:r w:rsidR="00AB2064">
        <w:t>region</w:t>
      </w:r>
      <w:r>
        <w:t>. High resistivity spots have been identified in the eastern part of Tulare, whereas a lengthy, interconnected zone of low resistivity (signified by a dark blue color) can be observed along the southwestern margin of the San Joaquin and Tulare region (Figure 2c). Historically, this part of the Central Valley was formed from marine deposits, known to contain high concentrations of dissolved solids [</w:t>
      </w:r>
      <w:r>
        <w:rPr>
          <w:i/>
        </w:rPr>
        <w:t>Bertoldi et al.</w:t>
      </w:r>
      <w:r>
        <w:t xml:space="preserve">, 1991]. </w:t>
      </w:r>
      <w:r>
        <w:rPr>
          <w:i/>
        </w:rPr>
        <w:t xml:space="preserve">Bertoldi et al. </w:t>
      </w:r>
      <w:r>
        <w:t>[1991] demonstrates that the concentration of these dissolved solids surpasses 1500 mg/l, with salts present that include mixtures of sodium/calcium chloride/sulfate.</w:t>
      </w:r>
    </w:p>
    <w:p w14:paraId="0B746E4A" w14:textId="77777777" w:rsidR="00427B52" w:rsidRDefault="00000000">
      <w:pPr>
        <w:ind w:left="-15" w:right="441"/>
      </w:pPr>
      <w:r>
        <w:t>The presence of high salt content in these southwestern margin of Central Valley results in low depth-averaged resistivity, thereby inhibiting the accurate representation of soil properties through this measure. Saline soil’s highly conductive nature leads to remarkably low resistivity values, making resistivity an unsuitable proxy for soil texture in these areas.</w:t>
      </w:r>
    </w:p>
    <w:p w14:paraId="0CB7C4B5" w14:textId="77777777" w:rsidR="00427B52" w:rsidRDefault="00000000">
      <w:pPr>
        <w:ind w:left="-15" w:right="304"/>
      </w:pPr>
      <w:r>
        <w:t>Our examination reveals that by excluding locations where the depth of layers with resistivity less than 10 Ω</w:t>
      </w:r>
      <w:r>
        <w:rPr>
          <w:i/>
        </w:rPr>
        <w:t xml:space="preserve">m </w:t>
      </w:r>
      <w:r>
        <w:t>extends beyond 31m, we effectively remove sections of the region affected by high salinity. Therefore, in all our analyses comparing nitrate with resistivity, we have intentionally omitted wells located within these depth-averaged resistivity zones in the southwestern Central Valley and Delta regions.</w:t>
      </w:r>
    </w:p>
    <w:p w14:paraId="01021399" w14:textId="77777777" w:rsidR="00427B52" w:rsidRDefault="00000000">
      <w:pPr>
        <w:spacing w:after="174"/>
        <w:ind w:left="-15" w:right="304"/>
      </w:pPr>
      <w:r>
        <w:t>As depicted in Figure 2a, we observe that the median of the mean Nitrate-N distribution tends to be lower at depth-averaged resistivity values below 10 Ω</w:t>
      </w:r>
      <w:r>
        <w:rPr>
          <w:i/>
        </w:rPr>
        <w:t>m</w:t>
      </w:r>
      <w:r>
        <w:t>. Figure 2d showcases locations with depth-averaged resistivity falling within the ranges of ¡=5 Ω</w:t>
      </w:r>
      <w:r>
        <w:rPr>
          <w:i/>
        </w:rPr>
        <w:t xml:space="preserve">m </w:t>
      </w:r>
      <w:r>
        <w:t>and 5-10 Ω</w:t>
      </w:r>
      <w:r>
        <w:rPr>
          <w:i/>
        </w:rPr>
        <w:t>m</w:t>
      </w:r>
      <w:r>
        <w:t>.</w:t>
      </w:r>
    </w:p>
    <w:p w14:paraId="47B67EC4" w14:textId="77777777" w:rsidR="00427B52" w:rsidRDefault="00000000">
      <w:pPr>
        <w:spacing w:after="432"/>
        <w:ind w:left="-15" w:right="304"/>
      </w:pPr>
      <w:r>
        <w:t xml:space="preserve">We note that the coverage of depth-averaged resistivity </w:t>
      </w:r>
      <w:r>
        <w:rPr>
          <w:i/>
        </w:rPr>
        <w:t>&lt;</w:t>
      </w:r>
      <w:r>
        <w:t>= 5 Ω</w:t>
      </w:r>
      <w:r>
        <w:rPr>
          <w:i/>
        </w:rPr>
        <w:t xml:space="preserve">m </w:t>
      </w:r>
      <w:r>
        <w:t>is quite limited. While the region representing 5-10 Ω</w:t>
      </w:r>
      <w:r>
        <w:rPr>
          <w:i/>
        </w:rPr>
        <w:t xml:space="preserve">m </w:t>
      </w:r>
      <w:r>
        <w:t>is relatively larger, it still encompasses a minor portion of the Central Valley. This observation implies that using depth-averaged resistivity alone to identify areas with low leaching potential is not sufficient for the majority of the Central Valley.</w:t>
      </w:r>
    </w:p>
    <w:p w14:paraId="3F2A0929" w14:textId="77777777" w:rsidR="00427B52" w:rsidRDefault="00000000">
      <w:pPr>
        <w:pStyle w:val="Heading2"/>
        <w:spacing w:line="417" w:lineRule="auto"/>
        <w:ind w:left="919" w:right="373"/>
      </w:pPr>
      <w:r>
        <w:lastRenderedPageBreak/>
        <w:t xml:space="preserve">Thick low resistivity layers show reduced </w:t>
      </w:r>
      <w:proofErr w:type="gramStart"/>
      <w:r>
        <w:t>nitrate</w:t>
      </w:r>
      <w:proofErr w:type="gramEnd"/>
      <w:r>
        <w:t xml:space="preserve"> but the effect diminishes beyond</w:t>
      </w:r>
    </w:p>
    <w:p w14:paraId="4AAE34AC" w14:textId="15654117" w:rsidR="00427B52" w:rsidRDefault="00000000">
      <w:pPr>
        <w:ind w:left="-15" w:right="233"/>
      </w:pPr>
      <w:r>
        <w:t xml:space="preserve">Thick clay layers may reduce nitrate leaching due to their physiochemical properties. Our earlier analysis, which used depth-averaged resistivity as a proxy for clay content in the subsurface, revealed limitations in identifying nitrate leaching-prone areas. Since depth-averaged resistivity accounts for resistivity throughout the depth, it’s possible that the presence of thick, very low-resistivity clay layers is averaged out due to </w:t>
      </w:r>
      <w:r w:rsidR="00AB2064">
        <w:t>high resistivity</w:t>
      </w:r>
      <w:r>
        <w:t xml:space="preserve"> layers above or below. In this context, depth-averaged resistivity may not effectively distinguish such thick clay layers.</w:t>
      </w:r>
    </w:p>
    <w:p w14:paraId="18278EF7" w14:textId="77777777" w:rsidR="00427B52" w:rsidRDefault="00000000">
      <w:pPr>
        <w:ind w:left="-15" w:right="38"/>
      </w:pPr>
      <w:r>
        <w:t>To evaluate the correlation between the thickness of clay layers and nitrate concentration in groundwater, we compared the Nitrate-N concentration to clay layer thickness. Previous studies indicated that resistivity values for clay layers can vary widely [</w:t>
      </w:r>
      <w:r>
        <w:rPr>
          <w:i/>
        </w:rPr>
        <w:t>Knight et al.</w:t>
      </w:r>
      <w:r>
        <w:t>, 2018]. Therefore, instead of using a single value to define clay layers, we explored various values below which soil is considered clay.</w:t>
      </w:r>
    </w:p>
    <w:p w14:paraId="40A46376" w14:textId="77777777" w:rsidR="00427B52" w:rsidRDefault="00000000">
      <w:pPr>
        <w:ind w:left="-15" w:right="304"/>
      </w:pPr>
      <w:r>
        <w:t>Figure 3a-b illustrates the relationship between Nitrate-N concentration and clay thickness within the top 9 resistivity survey layers, down to a depth of 31.9m. A resistivity threshold of 10 Ω</w:t>
      </w:r>
      <w:r>
        <w:rPr>
          <w:i/>
        </w:rPr>
        <w:t xml:space="preserve">m </w:t>
      </w:r>
      <w:r>
        <w:t>is used to define a layer as clay. Initially, we explored the relationship using resistivity thresholds of 10, 12.5, 14.3, 16.7, and 20 Ω</w:t>
      </w:r>
      <w:r>
        <w:rPr>
          <w:i/>
        </w:rPr>
        <w:t>m</w:t>
      </w:r>
      <w:r>
        <w:t>, but present only the boxplot for 10 Ω</w:t>
      </w:r>
      <w:r>
        <w:rPr>
          <w:i/>
        </w:rPr>
        <w:t xml:space="preserve">m </w:t>
      </w:r>
      <w:r>
        <w:t xml:space="preserve">in 3a-b for brevity. We present the relationship between </w:t>
      </w:r>
      <w:proofErr w:type="spellStart"/>
      <w:r>
        <w:t>NitrateN</w:t>
      </w:r>
      <w:proofErr w:type="spellEnd"/>
      <w:r>
        <w:t xml:space="preserve"> concentration and clay thickness for all wells (Figure 3a) and for only domestic wells (Figure 3b).</w:t>
      </w:r>
    </w:p>
    <w:p w14:paraId="7D887583" w14:textId="77777777" w:rsidR="00427B52" w:rsidRDefault="00000000">
      <w:pPr>
        <w:ind w:left="-15" w:right="304"/>
      </w:pPr>
      <w:r>
        <w:t xml:space="preserve">To illustrate the typical ranges of resistivity values corresponding to different soil textures, we reference the ranges provided by </w:t>
      </w:r>
      <w:r>
        <w:rPr>
          <w:i/>
        </w:rPr>
        <w:t xml:space="preserve">Knight et al. </w:t>
      </w:r>
      <w:r>
        <w:t>[2018] (shown in Figure 3c), which were established based on data from a section of the Central Valley.</w:t>
      </w:r>
    </w:p>
    <w:p w14:paraId="056F478F" w14:textId="0911825E" w:rsidR="00427B52" w:rsidRDefault="00000000" w:rsidP="00AB2064">
      <w:pPr>
        <w:spacing w:after="15"/>
        <w:ind w:left="-15" w:right="304"/>
      </w:pPr>
      <w:r>
        <w:t xml:space="preserve">Figure 3a-b summarizes the relationship between Nitrate-N concentration and clay thickness in the top 9 layers of resistivity survey data, down to a depth of 31.9m, </w:t>
      </w:r>
      <w:r w:rsidR="00AB2064">
        <w:t xml:space="preserve">using </w:t>
      </w:r>
      <w:r>
        <w:t>10 Ω</w:t>
      </w:r>
      <w:r>
        <w:rPr>
          <w:i/>
        </w:rPr>
        <w:t xml:space="preserve">m </w:t>
      </w:r>
      <w:r>
        <w:t xml:space="preserve">as a </w:t>
      </w:r>
      <w:r w:rsidR="00AB2064">
        <w:t>resistivity threshold</w:t>
      </w:r>
      <w:r>
        <w:t xml:space="preserve"> to define a layer as clay. We compare the Nitrate-N concentration and clay thickness relationship for all wells (Figure 3a) and domestic wells only</w:t>
      </w:r>
      <w:r w:rsidR="00AB2064">
        <w:t xml:space="preserve"> </w:t>
      </w:r>
      <w:r>
        <w:t xml:space="preserve">(Figure 3b). To demonstrate the typical ranges of resistivity values for different soil textures, we show the ranges presented by </w:t>
      </w:r>
      <w:r>
        <w:rPr>
          <w:i/>
        </w:rPr>
        <w:t xml:space="preserve">Knight et al. </w:t>
      </w:r>
      <w:r>
        <w:t>[2018] in Figure 3c that was prepared based on data in part of Central Valley.</w:t>
      </w:r>
    </w:p>
    <w:p w14:paraId="1E7699A9" w14:textId="77777777" w:rsidR="00AB2064" w:rsidRDefault="00AB2064" w:rsidP="00AB2064">
      <w:pPr>
        <w:spacing w:after="15"/>
        <w:ind w:left="-15" w:right="304"/>
      </w:pPr>
    </w:p>
    <w:p w14:paraId="3D5A52AB" w14:textId="75707A96" w:rsidR="00AB2064" w:rsidRDefault="00AB2064" w:rsidP="00AB2064">
      <w:pPr>
        <w:spacing w:after="15"/>
        <w:ind w:left="-15" w:right="304"/>
      </w:pPr>
      <w:r w:rsidRPr="00AB2064">
        <w:lastRenderedPageBreak/>
        <w:drawing>
          <wp:inline distT="0" distB="0" distL="0" distR="0" wp14:anchorId="771BB6E3" wp14:editId="5F888D20">
            <wp:extent cx="5193030" cy="4499610"/>
            <wp:effectExtent l="0" t="0" r="1270" b="0"/>
            <wp:docPr id="3" name="Picture 2">
              <a:extLst xmlns:a="http://schemas.openxmlformats.org/drawingml/2006/main">
                <a:ext uri="{FF2B5EF4-FFF2-40B4-BE49-F238E27FC236}">
                  <a16:creationId xmlns:a16="http://schemas.microsoft.com/office/drawing/2014/main" id="{9C2E09D6-9496-3A29-16AF-A23235362F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C2E09D6-9496-3A29-16AF-A23235362FDA}"/>
                        </a:ext>
                      </a:extLst>
                    </pic:cNvPr>
                    <pic:cNvPicPr>
                      <a:picLocks noChangeAspect="1"/>
                    </pic:cNvPicPr>
                  </pic:nvPicPr>
                  <pic:blipFill>
                    <a:blip r:embed="rId12"/>
                    <a:stretch>
                      <a:fillRect/>
                    </a:stretch>
                  </pic:blipFill>
                  <pic:spPr>
                    <a:xfrm>
                      <a:off x="0" y="0"/>
                      <a:ext cx="5193030" cy="4499610"/>
                    </a:xfrm>
                    <a:prstGeom prst="rect">
                      <a:avLst/>
                    </a:prstGeom>
                  </pic:spPr>
                </pic:pic>
              </a:graphicData>
            </a:graphic>
          </wp:inline>
        </w:drawing>
      </w:r>
    </w:p>
    <w:p w14:paraId="6689708A" w14:textId="77777777" w:rsidR="00AB2064" w:rsidRDefault="00AB2064" w:rsidP="00AB2064">
      <w:pPr>
        <w:spacing w:after="0"/>
        <w:ind w:left="-15" w:right="304" w:firstLine="0"/>
      </w:pPr>
      <w:r>
        <w:t>Figure 3: (a-b) Boxplots illustrate the Nitrate-N concentration in relation to varying thicknesses of subsurface layers with resistivity below 10 Ω</w:t>
      </w:r>
      <w:r>
        <w:rPr>
          <w:i/>
        </w:rPr>
        <w:t xml:space="preserve">m </w:t>
      </w:r>
      <w:r>
        <w:t xml:space="preserve">for (a) all types of wells and (b) domestic wells. (c) Relationship between resistivity and soil texture in Central Valley derived from AEM data by </w:t>
      </w:r>
      <w:r>
        <w:rPr>
          <w:i/>
        </w:rPr>
        <w:t xml:space="preserve">Knight et al. </w:t>
      </w:r>
      <w:r>
        <w:t>[2018]. (d-e) Median of the mean Nitrate-N concentration for different thicknesses of layers with threshold resistivity ranging from 10 to 20 Ω</w:t>
      </w:r>
      <w:r w:rsidRPr="00AB2064">
        <w:t xml:space="preserve">m </w:t>
      </w:r>
      <w:r>
        <w:t>for (d) all wells and (e) domestic wells.</w:t>
      </w:r>
      <w:r>
        <w:t xml:space="preserve">  </w:t>
      </w:r>
    </w:p>
    <w:p w14:paraId="5DBB31FB" w14:textId="77777777" w:rsidR="00AB2064" w:rsidRDefault="00AB2064" w:rsidP="00AB2064">
      <w:pPr>
        <w:spacing w:after="0"/>
        <w:ind w:left="-15" w:right="304" w:firstLine="0"/>
      </w:pPr>
    </w:p>
    <w:p w14:paraId="6A361A28" w14:textId="41471584" w:rsidR="00427B52" w:rsidRDefault="00000000" w:rsidP="007B6709">
      <w:pPr>
        <w:spacing w:after="1432"/>
        <w:ind w:left="-15" w:right="304"/>
      </w:pPr>
      <w:r>
        <w:t>Figure 3a illustrates the relationship between clay thickness and Nitrate-N concentration for all wells where clay layer is defined by resistivity value of 10 Ωm or below.</w:t>
      </w:r>
      <w:r w:rsidR="00AB2064">
        <w:t xml:space="preserve"> </w:t>
      </w:r>
      <w:r w:rsidRPr="00AB2064">
        <w:t xml:space="preserve">Knight et al. </w:t>
      </w:r>
      <w:r>
        <w:t>[2018] compared the in-situ soil measurements with resistivity measurements and identified values as low as 10 Ωm largely consisting of clay. We then estimated the total thickness of layers with resistivity values below 10 Ωm.</w:t>
      </w:r>
    </w:p>
    <w:p w14:paraId="389670CF" w14:textId="49D8DFE7" w:rsidR="00427B52" w:rsidRDefault="00000000">
      <w:pPr>
        <w:spacing w:after="10"/>
        <w:ind w:left="-15" w:right="56"/>
      </w:pPr>
      <w:r>
        <w:lastRenderedPageBreak/>
        <w:t xml:space="preserve">Our findings reveal that the median of the boxplots in Figure 3a tends to </w:t>
      </w:r>
      <w:r w:rsidR="007B6709">
        <w:t>decrease</w:t>
      </w:r>
      <w:r>
        <w:t xml:space="preserve"> with increased thickness. We conducted a similar analysis for domestic wells only as shown in Figure 3b. We found median of the box when thickness is much high (15−25m or </w:t>
      </w:r>
      <w:r>
        <w:rPr>
          <w:i/>
        </w:rPr>
        <w:t>&gt;</w:t>
      </w:r>
      <w:r>
        <w:t>25</w:t>
      </w:r>
    </w:p>
    <w:p w14:paraId="7E728DD6" w14:textId="77777777" w:rsidR="00427B52" w:rsidRDefault="00000000">
      <w:pPr>
        <w:ind w:left="-15" w:right="304" w:firstLine="0"/>
      </w:pPr>
      <w:r>
        <w:t>m) is relatively lower compared to low thickness (0m or 0−5m). However, a strong decreasing trend is absent in domestic wells compared to all wells combined, consistent with our results from Figure 2b where domestic wells also showed a less clear association between depth average resistivity and nitrate content.</w:t>
      </w:r>
    </w:p>
    <w:p w14:paraId="0BB84661" w14:textId="77777777" w:rsidR="00427B52" w:rsidRDefault="00000000">
      <w:pPr>
        <w:ind w:left="-15" w:right="304"/>
      </w:pPr>
      <w:r>
        <w:t>We conducted a repetition of the analysis displayed in Figure 3a-b for different resistivity thresholds: 10, 12.5, 14.3, 16.7, and 20 Ω</w:t>
      </w:r>
      <w:r>
        <w:rPr>
          <w:i/>
        </w:rPr>
        <w:t>m</w:t>
      </w:r>
      <w:r>
        <w:t>, which correspond to increments of 0.01 in conductivity (i.e., conductivity=1/resistivity). Figure 3d-e illustrates the median of the Nitrate-N distribution for varying thicknesses of clay layers. Here, a clay layer is defined as a layer with resistivity below the thresholds indicated on the vertical axis. It’s important to note that in the heatmap shown in Figure 3d-e, the nitrate concentration corresponds only to those wells that have resistivity values equal to or below the threshold indicated by each row. We compared the heatmaps for all wells (Figure 3d) and domestic wells (Figure 3e).</w:t>
      </w:r>
    </w:p>
    <w:p w14:paraId="37709F7A" w14:textId="77777777" w:rsidR="00427B52" w:rsidRDefault="00000000">
      <w:pPr>
        <w:ind w:left="-15" w:right="304"/>
      </w:pPr>
      <w:r>
        <w:t>Our finding indicates that increasing clay thickness is associated with decreasing nitrate concentration in all wells for most of the resistivity threshold used in Figure 3d, but more pronounced relationship identified for relatively lower resistivity thresholds. Pronounced association for low resistivity threshold could be due to the presence of high clay content along with the increasing thickness of such high clay content layers.</w:t>
      </w:r>
    </w:p>
    <w:p w14:paraId="76A2D38C" w14:textId="00FC0AA4" w:rsidR="00427B52" w:rsidRDefault="00000000">
      <w:pPr>
        <w:ind w:left="-15" w:right="129"/>
      </w:pPr>
      <w:r>
        <w:t xml:space="preserve">In contrast to the relationship identified for all wells in Figure 3d, there is no clear relationship evident for domestic wells Figure 3e for wide ranges of resistivity threshold used to define clay layers. There </w:t>
      </w:r>
      <w:r w:rsidR="007B6709">
        <w:t>is</w:t>
      </w:r>
      <w:r>
        <w:t xml:space="preserve"> slight decreasing pattern found when resistivity threshold of 10 Ω</w:t>
      </w:r>
      <w:r>
        <w:rPr>
          <w:i/>
        </w:rPr>
        <w:t xml:space="preserve">m </w:t>
      </w:r>
      <w:r>
        <w:t>used, but not for higher thresholds.</w:t>
      </w:r>
    </w:p>
    <w:p w14:paraId="5F9AA5F5" w14:textId="77777777" w:rsidR="00427B52" w:rsidRDefault="00000000">
      <w:pPr>
        <w:ind w:left="-15" w:right="167"/>
      </w:pPr>
      <w:r>
        <w:t>We believe that the limited capacity of resistivity data or clay layer thickness, in most cases, to differentiate between high and low nitrate areas could be partially attributed to the shallow depth of domestic wells. Even though we used a 32m depth average resistivity or calculated clay thickness up to 32m, domestic wells in the Central Valley are often shallower, typically around 18m or 60 ft.</w:t>
      </w:r>
    </w:p>
    <w:p w14:paraId="4ADD8AD6" w14:textId="75F98062" w:rsidR="00427B52" w:rsidRDefault="00000000">
      <w:pPr>
        <w:spacing w:after="414"/>
        <w:ind w:left="-15" w:right="304"/>
      </w:pPr>
      <w:r>
        <w:t xml:space="preserve">Even if a clay layer is present within this shallow depth, the leached nitrate may not generally encounter the adequate physiochemical conditions necessary to support </w:t>
      </w:r>
      <w:r>
        <w:lastRenderedPageBreak/>
        <w:t xml:space="preserve">denitrification or removal. Conversely, deep wells are more likely to offer such conditions, resulting in reduced nitrate leaching. The slight decreasing pattern observed for low resistivity thresholds in Figure 3e could be due to the presence of very thick layers with high clay content that could exert some influence, an effect largely </w:t>
      </w:r>
      <w:r w:rsidR="007B6709">
        <w:t>absents</w:t>
      </w:r>
      <w:r>
        <w:t xml:space="preserve"> for higher resistivity thresholds.</w:t>
      </w:r>
    </w:p>
    <w:p w14:paraId="3023FD9F" w14:textId="6274BC35" w:rsidR="00427B52" w:rsidRDefault="00000000">
      <w:pPr>
        <w:spacing w:after="150" w:line="416" w:lineRule="auto"/>
        <w:ind w:left="919" w:right="373" w:hanging="456"/>
      </w:pPr>
      <w:r>
        <w:rPr>
          <w:b/>
        </w:rPr>
        <w:t>4.3 Machine learning model supports the finding of limited predictability of</w:t>
      </w:r>
      <w:r w:rsidR="007B6709">
        <w:rPr>
          <w:b/>
        </w:rPr>
        <w:t xml:space="preserve"> </w:t>
      </w:r>
      <w:r>
        <w:rPr>
          <w:b/>
        </w:rPr>
        <w:t>nitrate from resistivity.</w:t>
      </w:r>
    </w:p>
    <w:p w14:paraId="6FC59A58" w14:textId="04ABF24B" w:rsidR="00427B52" w:rsidRDefault="00000000">
      <w:pPr>
        <w:ind w:left="-15" w:right="367"/>
      </w:pPr>
      <w:r>
        <w:t xml:space="preserve">The concentration of nitrate in wells depends on several factors including the surface application of fertilizer, the volume of water recharge, soil properties, chemical conditions of the soil, and others. In a previous section, we observed that soil properties predominantly impact nitrate concentrations only in regions of low resistivity, which correspond to areas with high clay content. However, the relative influence of subsurface soil properties in comparison to other variables remains unknown due to the lack of </w:t>
      </w:r>
      <w:r w:rsidR="007B6709">
        <w:t>high-resolution</w:t>
      </w:r>
      <w:r>
        <w:t xml:space="preserve"> resistivity data at the scale required for this study.</w:t>
      </w:r>
    </w:p>
    <w:p w14:paraId="0ABF1D28" w14:textId="77777777" w:rsidR="00427B52" w:rsidRDefault="00000000">
      <w:pPr>
        <w:ind w:left="-15" w:right="304"/>
      </w:pPr>
      <w:proofErr w:type="gramStart"/>
      <w:r>
        <w:t>In order to</w:t>
      </w:r>
      <w:proofErr w:type="gramEnd"/>
      <w:r>
        <w:t xml:space="preserve"> assess the relative impact of subsurface soil resistivity on the prediction of nitrate concentrations in wells, we developed a Random Forest model. The model’s target variable is the mean nitrate concentration, and it incorporates several other variables as features. Our evaluation focuses on the predictive capability of depth average resistivity for Nitrate-N.</w:t>
      </w:r>
    </w:p>
    <w:p w14:paraId="60CE2C52" w14:textId="77777777" w:rsidR="00427B52" w:rsidRDefault="00000000">
      <w:pPr>
        <w:ind w:left="-15" w:right="73"/>
      </w:pPr>
      <w:r>
        <w:t>To evaluate the predictive capability of depth average resistivity, we constructed models both with and without depth average resistivity as a predictor. An increase in model error when resistivity is not factored in as a predictor would indicate the predictive power of resistivity. This would also offer insights into the relative scale of error changes compared to mean nitrate values, thereby illustrating the significance of these changes.</w:t>
      </w:r>
    </w:p>
    <w:p w14:paraId="608726BF" w14:textId="77777777" w:rsidR="00427B52" w:rsidRDefault="00000000">
      <w:pPr>
        <w:ind w:left="-15" w:right="304"/>
      </w:pPr>
      <w:r>
        <w:t xml:space="preserve">We utilized the </w:t>
      </w:r>
      <w:proofErr w:type="spellStart"/>
      <w:r>
        <w:t>GridSearchCV</w:t>
      </w:r>
      <w:proofErr w:type="spellEnd"/>
      <w:r>
        <w:t xml:space="preserve"> function from the scikit-learn library to develop random forest models across a wide range of hyperparameters, as detailed in the methods section. To select the optimal hyperparameters, we implemented a two-step process. In the first step, we compared the mean absolute errors (MAE) between the cross-validation set and the test set. The absolute differences were found to range from 0.01 to 0.04. This equates to 0.65-3.37% of the mean MAE in the cross-validation set, derived from all models developed using various hyperparameters. Given the relatively minor differences between the cross-</w:t>
      </w:r>
      <w:r>
        <w:lastRenderedPageBreak/>
        <w:t>validation and test sets, we concluded that the model’s performance on an unknown test set is likely to be consistent with its performance on the cross-validation set. This suggests a low likelihood of overfitting.</w:t>
      </w:r>
    </w:p>
    <w:p w14:paraId="3BE648E0" w14:textId="77777777" w:rsidR="00427B52" w:rsidRDefault="00000000">
      <w:pPr>
        <w:ind w:left="-15" w:right="442"/>
      </w:pPr>
      <w:r>
        <w:t>In the second step, we selected the model that yielded the lowest cross-validation error as a means of determining the optimal hyperparameters. This approach ensures that the selected model and its hyperparameters deliver the most accurate predictions on unseen data, as per our cross-validation results.</w:t>
      </w:r>
    </w:p>
    <w:p w14:paraId="0C868AE7" w14:textId="77777777" w:rsidR="00427B52" w:rsidRDefault="00000000">
      <w:pPr>
        <w:spacing w:after="599"/>
        <w:ind w:left="-15" w:right="304"/>
      </w:pPr>
      <w:r>
        <w:t xml:space="preserve">Table 1 presents the performance metrics of the random forest model outputs. The two metrics highlighted are the mean absolute error (MAE) and the coefficient of determination (R2). Given that the unit of the target variable is </w:t>
      </w:r>
      <w:proofErr w:type="gramStart"/>
      <w:r>
        <w:t>ln(</w:t>
      </w:r>
      <w:proofErr w:type="gramEnd"/>
      <w:r>
        <w:t>Nitrate-N mg/l), the MAE also measures nitrate concentration in the same unit. In addition, the metrics after removing resistivity as a predictor are shown in the bottom rows of the table, as indicated by the ’Reduced model’.</w:t>
      </w:r>
    </w:p>
    <w:p w14:paraId="1EAED432" w14:textId="29F9D270" w:rsidR="00427B52" w:rsidRDefault="00000000" w:rsidP="007B6709">
      <w:pPr>
        <w:spacing w:after="0"/>
        <w:ind w:left="-15" w:right="304" w:firstLine="0"/>
      </w:pPr>
      <w:r>
        <w:t>Table 1: Performance metrics of the random forest model considering depth average resistivity (</w:t>
      </w:r>
      <w:r w:rsidR="007B6709">
        <w:t>~</w:t>
      </w:r>
      <w:r>
        <w:t xml:space="preserve">32m) to </w:t>
      </w:r>
      <w:r w:rsidR="007B6709">
        <w:t>2-mile</w:t>
      </w:r>
      <w:r>
        <w:t xml:space="preserve"> radius. Metrics shown are the mean absolute error (MAE) and the coefficient of determination (R2). The metrics are evaluated for both the training, cross </w:t>
      </w:r>
      <w:r w:rsidR="007B6709">
        <w:t>validation,</w:t>
      </w:r>
      <w:r>
        <w:t xml:space="preserve"> and test data. The MAE and R2 are compared between two scenarios: a full run, where all features are included, and a reduced run, where resistivity is excluded as a</w:t>
      </w:r>
      <w:r w:rsidR="007B6709">
        <w:t xml:space="preserve"> </w:t>
      </w:r>
      <w:r>
        <w:t>feature.</w:t>
      </w:r>
    </w:p>
    <w:tbl>
      <w:tblPr>
        <w:tblStyle w:val="TableGrid"/>
        <w:tblW w:w="5654" w:type="dxa"/>
        <w:tblInd w:w="1133" w:type="dxa"/>
        <w:tblCellMar>
          <w:top w:w="0" w:type="dxa"/>
          <w:left w:w="0" w:type="dxa"/>
          <w:bottom w:w="0" w:type="dxa"/>
          <w:right w:w="0" w:type="dxa"/>
        </w:tblCellMar>
        <w:tblLook w:val="04A0" w:firstRow="1" w:lastRow="0" w:firstColumn="1" w:lastColumn="0" w:noHBand="0" w:noVBand="1"/>
      </w:tblPr>
      <w:tblGrid>
        <w:gridCol w:w="2248"/>
        <w:gridCol w:w="1081"/>
        <w:gridCol w:w="1841"/>
        <w:gridCol w:w="484"/>
      </w:tblGrid>
      <w:tr w:rsidR="00427B52" w14:paraId="471C3F74" w14:textId="77777777">
        <w:trPr>
          <w:trHeight w:val="500"/>
        </w:trPr>
        <w:tc>
          <w:tcPr>
            <w:tcW w:w="2265" w:type="dxa"/>
            <w:vMerge w:val="restart"/>
            <w:tcBorders>
              <w:top w:val="single" w:sz="6" w:space="0" w:color="000000"/>
              <w:left w:val="nil"/>
              <w:bottom w:val="single" w:sz="4" w:space="0" w:color="000000"/>
              <w:right w:val="nil"/>
            </w:tcBorders>
            <w:vAlign w:val="center"/>
          </w:tcPr>
          <w:p w14:paraId="340F4D2B" w14:textId="77777777" w:rsidR="00427B52" w:rsidRDefault="00000000">
            <w:pPr>
              <w:spacing w:after="0" w:line="259" w:lineRule="auto"/>
              <w:ind w:right="0" w:firstLine="0"/>
            </w:pPr>
            <w:r>
              <w:rPr>
                <w:b/>
              </w:rPr>
              <w:t>Metric</w:t>
            </w:r>
          </w:p>
        </w:tc>
        <w:tc>
          <w:tcPr>
            <w:tcW w:w="1085" w:type="dxa"/>
            <w:tcBorders>
              <w:top w:val="single" w:sz="6" w:space="0" w:color="000000"/>
              <w:left w:val="nil"/>
              <w:bottom w:val="single" w:sz="2" w:space="0" w:color="000000"/>
              <w:right w:val="nil"/>
            </w:tcBorders>
          </w:tcPr>
          <w:p w14:paraId="4A103DA4" w14:textId="77777777" w:rsidR="00427B52" w:rsidRDefault="00427B52">
            <w:pPr>
              <w:spacing w:after="160" w:line="259" w:lineRule="auto"/>
              <w:ind w:right="0" w:firstLine="0"/>
            </w:pPr>
          </w:p>
        </w:tc>
        <w:tc>
          <w:tcPr>
            <w:tcW w:w="1851" w:type="dxa"/>
            <w:tcBorders>
              <w:top w:val="single" w:sz="6" w:space="0" w:color="000000"/>
              <w:left w:val="nil"/>
              <w:bottom w:val="single" w:sz="2" w:space="0" w:color="000000"/>
              <w:right w:val="nil"/>
            </w:tcBorders>
            <w:vAlign w:val="center"/>
          </w:tcPr>
          <w:p w14:paraId="6C19A04E" w14:textId="77777777" w:rsidR="00427B52" w:rsidRDefault="00000000">
            <w:pPr>
              <w:spacing w:after="0" w:line="259" w:lineRule="auto"/>
              <w:ind w:left="104" w:right="0" w:firstLine="0"/>
            </w:pPr>
            <w:r>
              <w:rPr>
                <w:b/>
              </w:rPr>
              <w:t>Dataset</w:t>
            </w:r>
          </w:p>
        </w:tc>
        <w:tc>
          <w:tcPr>
            <w:tcW w:w="454" w:type="dxa"/>
            <w:tcBorders>
              <w:top w:val="single" w:sz="6" w:space="0" w:color="000000"/>
              <w:left w:val="nil"/>
              <w:bottom w:val="single" w:sz="2" w:space="0" w:color="000000"/>
              <w:right w:val="nil"/>
            </w:tcBorders>
          </w:tcPr>
          <w:p w14:paraId="2E27C779" w14:textId="77777777" w:rsidR="00427B52" w:rsidRDefault="00427B52">
            <w:pPr>
              <w:spacing w:after="160" w:line="259" w:lineRule="auto"/>
              <w:ind w:right="0" w:firstLine="0"/>
            </w:pPr>
          </w:p>
        </w:tc>
      </w:tr>
      <w:tr w:rsidR="00427B52" w14:paraId="2A09B31C" w14:textId="77777777">
        <w:trPr>
          <w:trHeight w:val="497"/>
        </w:trPr>
        <w:tc>
          <w:tcPr>
            <w:tcW w:w="0" w:type="auto"/>
            <w:vMerge/>
            <w:tcBorders>
              <w:top w:val="nil"/>
              <w:left w:val="nil"/>
              <w:bottom w:val="single" w:sz="4" w:space="0" w:color="000000"/>
              <w:right w:val="nil"/>
            </w:tcBorders>
          </w:tcPr>
          <w:p w14:paraId="21BB1E75" w14:textId="77777777" w:rsidR="00427B52" w:rsidRDefault="00427B52">
            <w:pPr>
              <w:spacing w:after="160" w:line="259" w:lineRule="auto"/>
              <w:ind w:right="0" w:firstLine="0"/>
            </w:pPr>
          </w:p>
        </w:tc>
        <w:tc>
          <w:tcPr>
            <w:tcW w:w="1085" w:type="dxa"/>
            <w:tcBorders>
              <w:top w:val="single" w:sz="2" w:space="0" w:color="000000"/>
              <w:left w:val="nil"/>
              <w:bottom w:val="single" w:sz="4" w:space="0" w:color="000000"/>
              <w:right w:val="nil"/>
            </w:tcBorders>
            <w:vAlign w:val="center"/>
          </w:tcPr>
          <w:p w14:paraId="228C35C3" w14:textId="77777777" w:rsidR="00427B52" w:rsidRDefault="00000000">
            <w:pPr>
              <w:spacing w:after="0" w:line="259" w:lineRule="auto"/>
              <w:ind w:right="0" w:firstLine="0"/>
            </w:pPr>
            <w:r>
              <w:rPr>
                <w:b/>
              </w:rPr>
              <w:t>Training</w:t>
            </w:r>
          </w:p>
        </w:tc>
        <w:tc>
          <w:tcPr>
            <w:tcW w:w="1851" w:type="dxa"/>
            <w:tcBorders>
              <w:top w:val="single" w:sz="2" w:space="0" w:color="000000"/>
              <w:left w:val="nil"/>
              <w:bottom w:val="single" w:sz="4" w:space="0" w:color="000000"/>
              <w:right w:val="nil"/>
            </w:tcBorders>
            <w:vAlign w:val="center"/>
          </w:tcPr>
          <w:p w14:paraId="77F749B6" w14:textId="77777777" w:rsidR="00427B52" w:rsidRDefault="00000000">
            <w:pPr>
              <w:spacing w:after="0" w:line="259" w:lineRule="auto"/>
              <w:ind w:right="0" w:firstLine="0"/>
            </w:pPr>
            <w:r>
              <w:rPr>
                <w:b/>
              </w:rPr>
              <w:t>Cross-validation</w:t>
            </w:r>
          </w:p>
        </w:tc>
        <w:tc>
          <w:tcPr>
            <w:tcW w:w="454" w:type="dxa"/>
            <w:tcBorders>
              <w:top w:val="single" w:sz="2" w:space="0" w:color="000000"/>
              <w:left w:val="nil"/>
              <w:bottom w:val="single" w:sz="4" w:space="0" w:color="000000"/>
              <w:right w:val="nil"/>
            </w:tcBorders>
            <w:vAlign w:val="center"/>
          </w:tcPr>
          <w:p w14:paraId="64D3BD15" w14:textId="77777777" w:rsidR="00427B52" w:rsidRDefault="00000000">
            <w:pPr>
              <w:spacing w:after="0" w:line="259" w:lineRule="auto"/>
              <w:ind w:left="15" w:right="0" w:firstLine="0"/>
              <w:jc w:val="both"/>
            </w:pPr>
            <w:r>
              <w:rPr>
                <w:b/>
              </w:rPr>
              <w:t>Test</w:t>
            </w:r>
          </w:p>
        </w:tc>
      </w:tr>
      <w:tr w:rsidR="00427B52" w14:paraId="024E28D2" w14:textId="77777777">
        <w:trPr>
          <w:trHeight w:val="489"/>
        </w:trPr>
        <w:tc>
          <w:tcPr>
            <w:tcW w:w="2265" w:type="dxa"/>
            <w:tcBorders>
              <w:top w:val="single" w:sz="4" w:space="0" w:color="000000"/>
              <w:left w:val="nil"/>
              <w:bottom w:val="nil"/>
              <w:right w:val="nil"/>
            </w:tcBorders>
            <w:vAlign w:val="center"/>
          </w:tcPr>
          <w:p w14:paraId="512902E7" w14:textId="77777777" w:rsidR="00427B52" w:rsidRDefault="00000000">
            <w:pPr>
              <w:spacing w:after="0" w:line="259" w:lineRule="auto"/>
              <w:ind w:right="0" w:firstLine="0"/>
            </w:pPr>
            <w:r>
              <w:t>MAE (Full model)</w:t>
            </w:r>
          </w:p>
        </w:tc>
        <w:tc>
          <w:tcPr>
            <w:tcW w:w="1085" w:type="dxa"/>
            <w:tcBorders>
              <w:top w:val="single" w:sz="4" w:space="0" w:color="000000"/>
              <w:left w:val="nil"/>
              <w:bottom w:val="nil"/>
              <w:right w:val="nil"/>
            </w:tcBorders>
            <w:vAlign w:val="center"/>
          </w:tcPr>
          <w:p w14:paraId="2D612791" w14:textId="77777777" w:rsidR="00427B52" w:rsidRDefault="00000000">
            <w:pPr>
              <w:spacing w:after="0" w:line="259" w:lineRule="auto"/>
              <w:ind w:left="196" w:right="0" w:firstLine="0"/>
            </w:pPr>
            <w:r>
              <w:t>0.898</w:t>
            </w:r>
          </w:p>
        </w:tc>
        <w:tc>
          <w:tcPr>
            <w:tcW w:w="1851" w:type="dxa"/>
            <w:tcBorders>
              <w:top w:val="single" w:sz="4" w:space="0" w:color="000000"/>
              <w:left w:val="nil"/>
              <w:bottom w:val="nil"/>
              <w:right w:val="nil"/>
            </w:tcBorders>
            <w:vAlign w:val="center"/>
          </w:tcPr>
          <w:p w14:paraId="0337C2BE" w14:textId="77777777" w:rsidR="00427B52" w:rsidRDefault="00000000">
            <w:pPr>
              <w:spacing w:after="0" w:line="259" w:lineRule="auto"/>
              <w:ind w:left="579" w:right="0" w:firstLine="0"/>
            </w:pPr>
            <w:r>
              <w:t>1.295</w:t>
            </w:r>
          </w:p>
        </w:tc>
        <w:tc>
          <w:tcPr>
            <w:tcW w:w="454" w:type="dxa"/>
            <w:tcBorders>
              <w:top w:val="single" w:sz="4" w:space="0" w:color="000000"/>
              <w:left w:val="nil"/>
              <w:bottom w:val="nil"/>
              <w:right w:val="nil"/>
            </w:tcBorders>
            <w:vAlign w:val="center"/>
          </w:tcPr>
          <w:p w14:paraId="0D369711" w14:textId="77777777" w:rsidR="00427B52" w:rsidRDefault="00000000">
            <w:pPr>
              <w:spacing w:after="0" w:line="259" w:lineRule="auto"/>
              <w:ind w:right="0" w:firstLine="0"/>
              <w:jc w:val="both"/>
            </w:pPr>
            <w:r>
              <w:t>1.253</w:t>
            </w:r>
          </w:p>
        </w:tc>
      </w:tr>
      <w:tr w:rsidR="00427B52" w14:paraId="15F5BD75" w14:textId="77777777">
        <w:trPr>
          <w:trHeight w:val="398"/>
        </w:trPr>
        <w:tc>
          <w:tcPr>
            <w:tcW w:w="2265" w:type="dxa"/>
            <w:tcBorders>
              <w:top w:val="nil"/>
              <w:left w:val="nil"/>
              <w:bottom w:val="nil"/>
              <w:right w:val="nil"/>
            </w:tcBorders>
            <w:vAlign w:val="center"/>
          </w:tcPr>
          <w:p w14:paraId="0B80A8E5" w14:textId="77777777" w:rsidR="00427B52" w:rsidRDefault="00000000">
            <w:pPr>
              <w:spacing w:after="0" w:line="259" w:lineRule="auto"/>
              <w:ind w:right="0" w:firstLine="0"/>
            </w:pPr>
            <w:r>
              <w:t>R2 (Full model)</w:t>
            </w:r>
          </w:p>
        </w:tc>
        <w:tc>
          <w:tcPr>
            <w:tcW w:w="1085" w:type="dxa"/>
            <w:tcBorders>
              <w:top w:val="nil"/>
              <w:left w:val="nil"/>
              <w:bottom w:val="nil"/>
              <w:right w:val="nil"/>
            </w:tcBorders>
            <w:vAlign w:val="center"/>
          </w:tcPr>
          <w:p w14:paraId="61DC0EA5" w14:textId="77777777" w:rsidR="00427B52" w:rsidRDefault="00000000">
            <w:pPr>
              <w:spacing w:after="0" w:line="259" w:lineRule="auto"/>
              <w:ind w:left="196" w:right="0" w:firstLine="0"/>
            </w:pPr>
            <w:r>
              <w:t>0.637</w:t>
            </w:r>
          </w:p>
        </w:tc>
        <w:tc>
          <w:tcPr>
            <w:tcW w:w="1851" w:type="dxa"/>
            <w:tcBorders>
              <w:top w:val="nil"/>
              <w:left w:val="nil"/>
              <w:bottom w:val="nil"/>
              <w:right w:val="nil"/>
            </w:tcBorders>
            <w:vAlign w:val="center"/>
          </w:tcPr>
          <w:p w14:paraId="522AB560" w14:textId="77777777" w:rsidR="00427B52" w:rsidRDefault="00000000">
            <w:pPr>
              <w:spacing w:after="0" w:line="259" w:lineRule="auto"/>
              <w:ind w:left="579" w:right="0" w:firstLine="0"/>
            </w:pPr>
            <w:r>
              <w:t>0.319</w:t>
            </w:r>
          </w:p>
        </w:tc>
        <w:tc>
          <w:tcPr>
            <w:tcW w:w="454" w:type="dxa"/>
            <w:tcBorders>
              <w:top w:val="nil"/>
              <w:left w:val="nil"/>
              <w:bottom w:val="nil"/>
              <w:right w:val="nil"/>
            </w:tcBorders>
            <w:vAlign w:val="center"/>
          </w:tcPr>
          <w:p w14:paraId="4B7D0355" w14:textId="77777777" w:rsidR="00427B52" w:rsidRDefault="00000000">
            <w:pPr>
              <w:spacing w:after="0" w:line="259" w:lineRule="auto"/>
              <w:ind w:right="0" w:firstLine="0"/>
              <w:jc w:val="both"/>
            </w:pPr>
            <w:r>
              <w:t>0.359</w:t>
            </w:r>
          </w:p>
        </w:tc>
      </w:tr>
      <w:tr w:rsidR="00427B52" w14:paraId="4C53CAB3" w14:textId="77777777">
        <w:trPr>
          <w:trHeight w:val="399"/>
        </w:trPr>
        <w:tc>
          <w:tcPr>
            <w:tcW w:w="2265" w:type="dxa"/>
            <w:tcBorders>
              <w:top w:val="nil"/>
              <w:left w:val="nil"/>
              <w:bottom w:val="nil"/>
              <w:right w:val="nil"/>
            </w:tcBorders>
            <w:vAlign w:val="center"/>
          </w:tcPr>
          <w:p w14:paraId="0F71E25C" w14:textId="77777777" w:rsidR="00427B52" w:rsidRDefault="00000000">
            <w:pPr>
              <w:spacing w:after="0" w:line="259" w:lineRule="auto"/>
              <w:ind w:right="0" w:firstLine="0"/>
            </w:pPr>
            <w:r>
              <w:t>MAE (Reduced model)</w:t>
            </w:r>
          </w:p>
        </w:tc>
        <w:tc>
          <w:tcPr>
            <w:tcW w:w="1085" w:type="dxa"/>
            <w:tcBorders>
              <w:top w:val="nil"/>
              <w:left w:val="nil"/>
              <w:bottom w:val="nil"/>
              <w:right w:val="nil"/>
            </w:tcBorders>
            <w:vAlign w:val="center"/>
          </w:tcPr>
          <w:p w14:paraId="1F05A762" w14:textId="77777777" w:rsidR="00427B52" w:rsidRDefault="00000000">
            <w:pPr>
              <w:spacing w:after="0" w:line="259" w:lineRule="auto"/>
              <w:ind w:left="196" w:right="0" w:firstLine="0"/>
            </w:pPr>
            <w:r>
              <w:t>0.908</w:t>
            </w:r>
          </w:p>
        </w:tc>
        <w:tc>
          <w:tcPr>
            <w:tcW w:w="1851" w:type="dxa"/>
            <w:tcBorders>
              <w:top w:val="nil"/>
              <w:left w:val="nil"/>
              <w:bottom w:val="nil"/>
              <w:right w:val="nil"/>
            </w:tcBorders>
            <w:vAlign w:val="center"/>
          </w:tcPr>
          <w:p w14:paraId="36F32AC7" w14:textId="77777777" w:rsidR="00427B52" w:rsidRDefault="00000000">
            <w:pPr>
              <w:spacing w:after="0" w:line="259" w:lineRule="auto"/>
              <w:ind w:left="579" w:right="0" w:firstLine="0"/>
            </w:pPr>
            <w:r>
              <w:t>1.297</w:t>
            </w:r>
          </w:p>
        </w:tc>
        <w:tc>
          <w:tcPr>
            <w:tcW w:w="454" w:type="dxa"/>
            <w:tcBorders>
              <w:top w:val="nil"/>
              <w:left w:val="nil"/>
              <w:bottom w:val="nil"/>
              <w:right w:val="nil"/>
            </w:tcBorders>
            <w:vAlign w:val="center"/>
          </w:tcPr>
          <w:p w14:paraId="29BCD568" w14:textId="77777777" w:rsidR="00427B52" w:rsidRDefault="00000000">
            <w:pPr>
              <w:spacing w:after="0" w:line="259" w:lineRule="auto"/>
              <w:ind w:right="0" w:firstLine="0"/>
              <w:jc w:val="both"/>
            </w:pPr>
            <w:r>
              <w:t>1.256</w:t>
            </w:r>
          </w:p>
        </w:tc>
      </w:tr>
      <w:tr w:rsidR="00427B52" w14:paraId="67AC3698" w14:textId="77777777">
        <w:trPr>
          <w:trHeight w:val="411"/>
        </w:trPr>
        <w:tc>
          <w:tcPr>
            <w:tcW w:w="2265" w:type="dxa"/>
            <w:tcBorders>
              <w:top w:val="nil"/>
              <w:left w:val="nil"/>
              <w:bottom w:val="single" w:sz="6" w:space="0" w:color="000000"/>
              <w:right w:val="nil"/>
            </w:tcBorders>
            <w:vAlign w:val="center"/>
          </w:tcPr>
          <w:p w14:paraId="45941FA6" w14:textId="77777777" w:rsidR="00427B52" w:rsidRDefault="00000000">
            <w:pPr>
              <w:spacing w:after="0" w:line="259" w:lineRule="auto"/>
              <w:ind w:right="0" w:firstLine="0"/>
            </w:pPr>
            <w:r>
              <w:t>R2 (Reduced model)</w:t>
            </w:r>
          </w:p>
        </w:tc>
        <w:tc>
          <w:tcPr>
            <w:tcW w:w="1085" w:type="dxa"/>
            <w:tcBorders>
              <w:top w:val="nil"/>
              <w:left w:val="nil"/>
              <w:bottom w:val="single" w:sz="6" w:space="0" w:color="000000"/>
              <w:right w:val="nil"/>
            </w:tcBorders>
            <w:vAlign w:val="center"/>
          </w:tcPr>
          <w:p w14:paraId="5E8F0F5A" w14:textId="77777777" w:rsidR="00427B52" w:rsidRDefault="00000000">
            <w:pPr>
              <w:spacing w:after="0" w:line="259" w:lineRule="auto"/>
              <w:ind w:left="196" w:right="0" w:firstLine="0"/>
            </w:pPr>
            <w:r>
              <w:t>0.631</w:t>
            </w:r>
          </w:p>
        </w:tc>
        <w:tc>
          <w:tcPr>
            <w:tcW w:w="1851" w:type="dxa"/>
            <w:tcBorders>
              <w:top w:val="nil"/>
              <w:left w:val="nil"/>
              <w:bottom w:val="single" w:sz="6" w:space="0" w:color="000000"/>
              <w:right w:val="nil"/>
            </w:tcBorders>
            <w:vAlign w:val="center"/>
          </w:tcPr>
          <w:p w14:paraId="314CC6B0" w14:textId="77777777" w:rsidR="00427B52" w:rsidRDefault="00000000">
            <w:pPr>
              <w:spacing w:after="0" w:line="259" w:lineRule="auto"/>
              <w:ind w:left="579" w:right="0" w:firstLine="0"/>
            </w:pPr>
            <w:r>
              <w:t>0.318</w:t>
            </w:r>
          </w:p>
        </w:tc>
        <w:tc>
          <w:tcPr>
            <w:tcW w:w="454" w:type="dxa"/>
            <w:tcBorders>
              <w:top w:val="nil"/>
              <w:left w:val="nil"/>
              <w:bottom w:val="single" w:sz="6" w:space="0" w:color="000000"/>
              <w:right w:val="nil"/>
            </w:tcBorders>
            <w:vAlign w:val="center"/>
          </w:tcPr>
          <w:p w14:paraId="696F235B" w14:textId="77777777" w:rsidR="00427B52" w:rsidRDefault="00000000">
            <w:pPr>
              <w:spacing w:after="0" w:line="259" w:lineRule="auto"/>
              <w:ind w:right="0" w:firstLine="0"/>
              <w:jc w:val="both"/>
            </w:pPr>
            <w:r>
              <w:t>0.356</w:t>
            </w:r>
          </w:p>
        </w:tc>
      </w:tr>
    </w:tbl>
    <w:p w14:paraId="54B74B92" w14:textId="77777777" w:rsidR="00427B52" w:rsidRDefault="00000000">
      <w:pPr>
        <w:spacing w:after="340" w:line="259" w:lineRule="auto"/>
        <w:ind w:left="6" w:right="0" w:firstLine="0"/>
      </w:pPr>
      <w:r>
        <w:rPr>
          <w:noProof/>
        </w:rPr>
        <w:lastRenderedPageBreak/>
        <w:drawing>
          <wp:inline distT="0" distB="0" distL="0" distR="0" wp14:anchorId="12F87A34" wp14:editId="6174DE3A">
            <wp:extent cx="5021048" cy="2990477"/>
            <wp:effectExtent l="0" t="0" r="0" b="0"/>
            <wp:docPr id="7917" name="Picture 7917"/>
            <wp:cNvGraphicFramePr/>
            <a:graphic xmlns:a="http://schemas.openxmlformats.org/drawingml/2006/main">
              <a:graphicData uri="http://schemas.openxmlformats.org/drawingml/2006/picture">
                <pic:pic xmlns:pic="http://schemas.openxmlformats.org/drawingml/2006/picture">
                  <pic:nvPicPr>
                    <pic:cNvPr id="7917" name="Picture 7917"/>
                    <pic:cNvPicPr/>
                  </pic:nvPicPr>
                  <pic:blipFill>
                    <a:blip r:embed="rId13"/>
                    <a:stretch>
                      <a:fillRect/>
                    </a:stretch>
                  </pic:blipFill>
                  <pic:spPr>
                    <a:xfrm>
                      <a:off x="0" y="0"/>
                      <a:ext cx="5021048" cy="2990477"/>
                    </a:xfrm>
                    <a:prstGeom prst="rect">
                      <a:avLst/>
                    </a:prstGeom>
                  </pic:spPr>
                </pic:pic>
              </a:graphicData>
            </a:graphic>
          </wp:inline>
        </w:drawing>
      </w:r>
    </w:p>
    <w:p w14:paraId="16DAFE87" w14:textId="77777777" w:rsidR="00427B52" w:rsidRDefault="00000000" w:rsidP="007B6709">
      <w:pPr>
        <w:spacing w:after="0"/>
        <w:ind w:left="-15" w:right="304" w:firstLine="0"/>
      </w:pPr>
      <w:r>
        <w:t>Figure 4: Relative importance of predictor variables in a Random Forest model used to predict mean nitrate levels. The feature importance was calculated using the Mean Decrease Impurity method. Variables are ordered by their importance, with the most influential variable at the top. Higher values represent a greater contribution to the model’s predictive accuracy.</w:t>
      </w:r>
    </w:p>
    <w:p w14:paraId="785BE0B7" w14:textId="77777777" w:rsidR="007B6709" w:rsidRDefault="007B6709" w:rsidP="007B6709">
      <w:pPr>
        <w:spacing w:after="0"/>
        <w:ind w:left="-15" w:right="304" w:firstLine="0"/>
      </w:pPr>
    </w:p>
    <w:p w14:paraId="6A633664" w14:textId="77777777" w:rsidR="00427B52" w:rsidRDefault="00000000">
      <w:pPr>
        <w:ind w:left="-15" w:right="304"/>
      </w:pPr>
      <w:r>
        <w:t>Our observations show that, in general, the removal of resistivity, as indicated by the reduced model, results in a slight increase in the MAE for both the training and test datasets. For example, at a radius of 2 miles, the MAE values for training and testing in the full model stand at 0.901 and 1.252, respectively. These values rise to 0.910 and 1.257 in the reduced model. This pattern of increased MAE suggests that resistivity plays a role in the overall predictability of the mean nitrate.</w:t>
      </w:r>
    </w:p>
    <w:p w14:paraId="7B2A80C0" w14:textId="77777777" w:rsidR="00427B52" w:rsidRDefault="00000000">
      <w:pPr>
        <w:ind w:left="-15" w:right="304"/>
      </w:pPr>
      <w:r>
        <w:t>However, the rise in MAE after removing depth average resistivity is relatively small. For instance, the change in error in the reduced model is less than 1%, indicating a relatively low contribution to predicting mean nitrate concentration.</w:t>
      </w:r>
    </w:p>
    <w:p w14:paraId="289A5191" w14:textId="6B7E3D0C" w:rsidR="00427B52" w:rsidRDefault="00000000">
      <w:pPr>
        <w:ind w:left="-15" w:right="304"/>
      </w:pPr>
      <w:r>
        <w:t xml:space="preserve">To evaluate the relative contribution of different features to the accuracy of random forest model, we create the ’Feature Importance’ plot. Figure 4 illustrates the relative importance of all features incorporated in the random forest model. This importance is quantified through the mean decrease in impurity, which represents the average decrease in variance due to splits over a given predictor, computed across all trees. Higher values signify </w:t>
      </w:r>
      <w:r>
        <w:lastRenderedPageBreak/>
        <w:t xml:space="preserve">that the data split on a </w:t>
      </w:r>
      <w:r w:rsidR="007B6709">
        <w:t>specific feature result</w:t>
      </w:r>
      <w:r>
        <w:t xml:space="preserve"> in purer nodes, thereby indicating greater importance.</w:t>
      </w:r>
    </w:p>
    <w:p w14:paraId="4337FF44" w14:textId="77777777" w:rsidR="00427B52" w:rsidRDefault="00000000">
      <w:pPr>
        <w:spacing w:after="385"/>
        <w:ind w:left="-15" w:right="167"/>
      </w:pPr>
      <w:r>
        <w:t xml:space="preserve">The ’Feature Importance’ plot identifies the probability of Mn above 50ppb as the most significant predictor, aligning with the findings of </w:t>
      </w:r>
      <w:r>
        <w:rPr>
          <w:i/>
        </w:rPr>
        <w:t xml:space="preserve">Ransom et al. </w:t>
      </w:r>
      <w:r>
        <w:t>[2017]. Depth average resistivity emerges as the seventh most important predictor, bearing relative importance values comparable to several others depicted in Figure 4. This underscores the importance of considering a myriad of factors when identifying areas prone to nitrate leaching, while simultaneously shedding light on the marginal effect of incorporating subsurface resistivity information.</w:t>
      </w:r>
    </w:p>
    <w:p w14:paraId="5648BA81" w14:textId="77777777" w:rsidR="00427B52" w:rsidRDefault="00000000">
      <w:pPr>
        <w:pStyle w:val="Heading1"/>
        <w:ind w:left="278" w:hanging="293"/>
      </w:pPr>
      <w:r>
        <w:t>Discussion</w:t>
      </w:r>
    </w:p>
    <w:p w14:paraId="3F27C8CC" w14:textId="77777777" w:rsidR="00427B52" w:rsidRDefault="00000000">
      <w:pPr>
        <w:ind w:left="-15" w:right="304"/>
      </w:pPr>
      <w:r>
        <w:t xml:space="preserve">The leaching of nitrate into groundwater is influenced by the properties of subsurface soil. As water percolates downward due to gravity, it travels through the soil’s pores. Coarse soils, such as sand and gravel, have larger pores that can’t retain water for extended periods, which causes the water to move more quickly. In contrast, finer soils, like clay, </w:t>
      </w:r>
      <w:proofErr w:type="gramStart"/>
      <w:r>
        <w:t>are capable of retaining</w:t>
      </w:r>
      <w:proofErr w:type="gramEnd"/>
      <w:r>
        <w:t xml:space="preserve"> water for longer duration, thereby decreasing the rate of leaching. This variation in porosity results in different time frames for water and nitrate to reach groundwater.</w:t>
      </w:r>
    </w:p>
    <w:p w14:paraId="744EFD18" w14:textId="77777777" w:rsidR="00427B52" w:rsidRDefault="00000000">
      <w:pPr>
        <w:ind w:left="-15" w:right="304"/>
      </w:pPr>
      <w:r>
        <w:t>During this leaching process, soil physiochemical properties can influence nitrate concentration. Nitrate may undergo natural attenuation via geochemical reaction known as denitrification. However, this transformation is contingent on several factors including soil redox condition and can range from negligible [</w:t>
      </w:r>
      <w:r>
        <w:rPr>
          <w:i/>
        </w:rPr>
        <w:t>Ransom et al.</w:t>
      </w:r>
      <w:r>
        <w:t>, 2016] to relatively higher at shallow waters [</w:t>
      </w:r>
      <w:r>
        <w:rPr>
          <w:i/>
        </w:rPr>
        <w:t>Singleton et al.</w:t>
      </w:r>
      <w:r>
        <w:t>, 2007] in areas of Central Valley.</w:t>
      </w:r>
    </w:p>
    <w:p w14:paraId="15506A66" w14:textId="77777777" w:rsidR="00427B52" w:rsidRDefault="00000000">
      <w:pPr>
        <w:ind w:left="-15" w:right="385"/>
      </w:pPr>
      <w:r>
        <w:t>Generally, denitrification rates tend to be higher in clay soils compared to sandy soils [</w:t>
      </w:r>
      <w:proofErr w:type="spellStart"/>
      <w:r>
        <w:rPr>
          <w:i/>
        </w:rPr>
        <w:t>D’haene</w:t>
      </w:r>
      <w:proofErr w:type="spellEnd"/>
      <w:r>
        <w:rPr>
          <w:i/>
        </w:rPr>
        <w:t xml:space="preserve"> et al.</w:t>
      </w:r>
      <w:r>
        <w:t>, 2003]. Clay soils usually possess greater water-holding capacity and are less aerated than sandy soils. These conditions are more conducive to maintaining the anoxic conditions necessary for denitrification [</w:t>
      </w:r>
      <w:r>
        <w:rPr>
          <w:i/>
        </w:rPr>
        <w:t>van der Salm et al.</w:t>
      </w:r>
      <w:r>
        <w:t>, 2007]. Additionally, clay soils often contain more organic matter, which supplies energy for the denitrifying bacteria.</w:t>
      </w:r>
    </w:p>
    <w:p w14:paraId="490E7517" w14:textId="77777777" w:rsidR="00427B52" w:rsidRDefault="00000000">
      <w:pPr>
        <w:ind w:left="-15" w:right="304"/>
      </w:pPr>
      <w:r>
        <w:t>Conversely, sandy soils typically have larger pores and better aeration, making them less suitable for denitrification, which requires anoxic conditions. Nevertheless, other factors such as organic matter content, soil moisture, and temperature can also influence this process.</w:t>
      </w:r>
    </w:p>
    <w:p w14:paraId="4AAEC95F" w14:textId="39739ACA" w:rsidR="00427B52" w:rsidRDefault="00000000">
      <w:pPr>
        <w:ind w:left="-15" w:right="304"/>
      </w:pPr>
      <w:r>
        <w:lastRenderedPageBreak/>
        <w:t xml:space="preserve">This understanding of the relationship between soil and leaching led us to adopt a </w:t>
      </w:r>
      <w:r w:rsidR="007B6709">
        <w:t>novel resistivity measurement</w:t>
      </w:r>
      <w:r>
        <w:t xml:space="preserve"> to identify areas prone to leaching. We proposed a hypothesis that areas with coarse soil, which are more susceptible to leaching and have fewer chances of denitrification, would be more vulnerable. As a result, we hypothesized that high resistivity areas (indicating coarse soil) would be more prone to leaching, whereas low resistivity areas would be less susceptible.</w:t>
      </w:r>
    </w:p>
    <w:p w14:paraId="2E702F6F" w14:textId="77777777" w:rsidR="00427B52" w:rsidRDefault="00000000">
      <w:pPr>
        <w:ind w:left="-15" w:right="518"/>
      </w:pPr>
      <w:r>
        <w:t>Our analysis substantiated the hypothesis that areas of low resistivity exhibited a greater potential to reduce leaching, as evidenced by the lower Nitrate-N levels at low resistivity. However, this effect was found to be limited in areas with exceptionally low resistivities (</w:t>
      </w:r>
      <w:r>
        <w:rPr>
          <w:i/>
        </w:rPr>
        <w:t xml:space="preserve">&lt; </w:t>
      </w:r>
      <w:r>
        <w:t>10</w:t>
      </w:r>
      <w:r>
        <w:rPr>
          <w:i/>
        </w:rPr>
        <w:t xml:space="preserve">ohm </w:t>
      </w:r>
      <w:r>
        <w:t xml:space="preserve">− </w:t>
      </w:r>
      <w:r>
        <w:rPr>
          <w:i/>
        </w:rPr>
        <w:t>m</w:t>
      </w:r>
      <w:r>
        <w:t>), which cover a relatively small part of the entire Central Valley. Our analysis with clay thickness also supported the finding that using subsurface resistivity alone to identify areas prone to leaching has limited applicability for entire Central Valley.</w:t>
      </w:r>
    </w:p>
    <w:p w14:paraId="20D87AB6" w14:textId="77777777" w:rsidR="00427B52" w:rsidRDefault="00000000">
      <w:pPr>
        <w:ind w:left="-15" w:right="304"/>
      </w:pPr>
      <w:r>
        <w:t>This finding suggests that using resistivity alone as a predictor of leaching vulnerability may only be viable in a limited number of areas. In most other locations, we must consider other factors influencing nitrate leaching behavior to accurately determine areas of vulnerability.</w:t>
      </w:r>
    </w:p>
    <w:p w14:paraId="2BE8533D" w14:textId="77777777" w:rsidR="00427B52" w:rsidRDefault="00000000">
      <w:pPr>
        <w:ind w:left="-15" w:right="437"/>
      </w:pPr>
      <w:r>
        <w:t>One of the current strategies in the Central Valley aimed at reducing groundwater pollution involves the use of Groundwater Protection Areas (GWPAs). These specific zones are designed to act as defensive barriers against the leaching of contaminants. This protective function is largely realized through regulations that restrict the application of pollutants to the land.</w:t>
      </w:r>
    </w:p>
    <w:p w14:paraId="0ACE0AB4" w14:textId="77777777" w:rsidR="00427B52" w:rsidRDefault="00000000">
      <w:pPr>
        <w:ind w:left="-15" w:right="0"/>
      </w:pPr>
      <w:r>
        <w:t>Initially, the Department of Pesticide Regulation introduced GWPAs to protect groundwater from pesticide contamination. However, it is plausible that these areas could also help reduce contamination from other substances, such as nitrate. The selection of areas for potential GWPA designation relies on several factors: the presence of pesticides, the coarseness of the topsoil, and the depth of the groundwater.</w:t>
      </w:r>
    </w:p>
    <w:p w14:paraId="1D7D5011" w14:textId="77777777" w:rsidR="00427B52" w:rsidRDefault="00000000">
      <w:pPr>
        <w:ind w:left="-15" w:right="304"/>
      </w:pPr>
      <w:r>
        <w:t>Contrary to GWPAs, which only consider the topsoil layer, resistivity measurements incorporate the entirety of the soil column. We contend that resistivity data, due to its ability to provide a continuous dataset across all three dimensions, offers a more accurate depiction subsurface physical structure.</w:t>
      </w:r>
    </w:p>
    <w:p w14:paraId="6B756A40" w14:textId="77777777" w:rsidR="00427B52" w:rsidRDefault="00000000">
      <w:pPr>
        <w:ind w:left="-15" w:right="304"/>
      </w:pPr>
      <w:r>
        <w:lastRenderedPageBreak/>
        <w:t>Most of the leaching GWPAs are designated based on soil coarseness and groundwater depth. However, from a data perspective, the current approach to identifying GWPAs for leaching containment has two significant limitations. First, it focuses on topsoil properties, even though nitrate leaching behavior also heavily depends on subsurface soil characteristics. Second, it uses the depth of groundwater as an indicator of vulnerability. When groundwater is located deeper, it takes a longer time for nitrate to reach it, potentially allowing for partial denitrification. If significant denitrification occurs, the time delay can play a crucial role in reducing nitrate leaching to groundwater.</w:t>
      </w:r>
    </w:p>
    <w:p w14:paraId="1279FD6F" w14:textId="77777777" w:rsidR="00427B52" w:rsidRDefault="00000000">
      <w:pPr>
        <w:ind w:left="-15" w:right="304"/>
      </w:pPr>
      <w:r>
        <w:t>While the time delay component might postpone nitrate leaching, it doesn’t solve the issue. A greater depth simply means that pollution will be detected later, but the pollutant is still integrated into the system and will cause problems. We argue that using this depth metric is not a progressive step towards resolving the issue.</w:t>
      </w:r>
    </w:p>
    <w:p w14:paraId="6CFC3941" w14:textId="77777777" w:rsidR="00427B52" w:rsidRDefault="00000000">
      <w:pPr>
        <w:ind w:left="-15" w:right="304"/>
      </w:pPr>
      <w:r>
        <w:t xml:space="preserve">The distribution of GWPAs across the Central Valley is shown in Figures 5a-c with red squares. Many GWPAs </w:t>
      </w:r>
      <w:proofErr w:type="gramStart"/>
      <w:r>
        <w:t>are located in</w:t>
      </w:r>
      <w:proofErr w:type="gramEnd"/>
      <w:r>
        <w:t xml:space="preserve"> the San Joaquin (b) and Tulare (c) regions. The background color in Figures 5a-c represents depth-averaged resistivity.</w:t>
      </w:r>
    </w:p>
    <w:p w14:paraId="232D59B7" w14:textId="77777777" w:rsidR="00427B52" w:rsidRDefault="00000000">
      <w:pPr>
        <w:ind w:left="-15" w:right="304"/>
      </w:pPr>
      <w:r>
        <w:t>Many GWPAs coincide with areas exhibiting elevated depth-averaged resistivity, but exceptions to this pattern abound, for example in the northern portion of the San Joaquin basin. Conversely, there are areas in both the Tulare and San Joaquin basins where the depth-averaged resistivity of the soil might be relatively high that are do not coincide with existing GWPAs.</w:t>
      </w:r>
    </w:p>
    <w:p w14:paraId="1DD798ED" w14:textId="77777777" w:rsidR="00427B52" w:rsidRDefault="00000000">
      <w:pPr>
        <w:ind w:left="-15" w:right="304"/>
      </w:pPr>
      <w:r>
        <w:t>Figure 5d presents a boxplot of the depth-averaged resistivity for all wells (represented in blue) and the wells situated within Groundwater Protection Areas (GWPAs, represented in orange), averaged over a 2-mile radius buffer from the centers of the wells. The wells inside the GWPAs constitute less than one-seventh of all the wells, yet they exhibit a relatively higher median resistivity.</w:t>
      </w:r>
    </w:p>
    <w:p w14:paraId="156E44F3" w14:textId="1AE2F516" w:rsidR="007B6709" w:rsidRDefault="00000000" w:rsidP="007B6709">
      <w:pPr>
        <w:ind w:left="-15" w:right="304" w:firstLine="0"/>
      </w:pPr>
      <w:r>
        <w:t>Since GWPAs take coarse soil texture into account as a criterion, there are several regions where the depth-averaged resistivity is higher in the top 30 m, and the topsoil is correspondingly coarse. Thus, a substantial overlap is expected between areas of high depth-averaged resistivity and GWPAs. We posit that this correlation explains the rel</w:t>
      </w:r>
      <w:r w:rsidR="007B6709">
        <w:t>a</w:t>
      </w:r>
      <w:r w:rsidR="007B6709">
        <w:t>tively higher median and distribution of depth-averaged resistivity of wells inside the GWPAs, as observed in Figure 5d.</w:t>
      </w:r>
    </w:p>
    <w:p w14:paraId="73126E99" w14:textId="4257D0A1" w:rsidR="00427B52" w:rsidRDefault="00427B52">
      <w:pPr>
        <w:ind w:left="-15" w:right="475"/>
      </w:pPr>
    </w:p>
    <w:p w14:paraId="141DDFE7" w14:textId="768A7D91" w:rsidR="007B6709" w:rsidRDefault="007B6709">
      <w:pPr>
        <w:ind w:left="-15" w:right="304" w:firstLine="0"/>
        <w:rPr>
          <w:rFonts w:ascii="Arial" w:eastAsia="Arial" w:hAnsi="Arial" w:cs="Arial"/>
        </w:rPr>
      </w:pPr>
      <w:r w:rsidRPr="007B6709">
        <w:rPr>
          <w:rFonts w:ascii="Arial" w:eastAsia="Arial" w:hAnsi="Arial" w:cs="Arial"/>
        </w:rPr>
        <w:drawing>
          <wp:inline distT="0" distB="0" distL="0" distR="0" wp14:anchorId="3A001019" wp14:editId="2F7662A1">
            <wp:extent cx="4375813" cy="6858000"/>
            <wp:effectExtent l="0" t="0" r="5715" b="0"/>
            <wp:docPr id="1950876149" name="Picture 1950876149">
              <a:extLst xmlns:a="http://schemas.openxmlformats.org/drawingml/2006/main">
                <a:ext uri="{FF2B5EF4-FFF2-40B4-BE49-F238E27FC236}">
                  <a16:creationId xmlns:a16="http://schemas.microsoft.com/office/drawing/2014/main" id="{ADB7B4FA-366E-E39A-74CF-EEBE7C61EE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B7B4FA-366E-E39A-74CF-EEBE7C61EE94}"/>
                        </a:ext>
                      </a:extLst>
                    </pic:cNvPr>
                    <pic:cNvPicPr>
                      <a:picLocks noChangeAspect="1"/>
                    </pic:cNvPicPr>
                  </pic:nvPicPr>
                  <pic:blipFill>
                    <a:blip r:embed="rId14"/>
                    <a:stretch>
                      <a:fillRect/>
                    </a:stretch>
                  </pic:blipFill>
                  <pic:spPr>
                    <a:xfrm>
                      <a:off x="0" y="0"/>
                      <a:ext cx="4375813" cy="6858000"/>
                    </a:xfrm>
                    <a:prstGeom prst="rect">
                      <a:avLst/>
                    </a:prstGeom>
                  </pic:spPr>
                </pic:pic>
              </a:graphicData>
            </a:graphic>
          </wp:inline>
        </w:drawing>
      </w:r>
    </w:p>
    <w:p w14:paraId="2C000EB5" w14:textId="392BBFCB" w:rsidR="00427B52" w:rsidRDefault="00000000">
      <w:pPr>
        <w:ind w:left="-15" w:right="304" w:firstLine="0"/>
      </w:pPr>
      <w:r>
        <w:t xml:space="preserve">Figure 5: Spatial distribution of depth average resistivity (up to 32m) and the leaching groundwater protection area by Department of Pesticide Regulation in (a) Sacramento basin, (b) San Joaquin basin and (c) Tulare basin. (d) Box plot of depth average resistivity (∼32m) at all wells and for wells inside leaching GWPA. Depth average resistivity at wells </w:t>
      </w:r>
      <w:r w:rsidR="007B6709">
        <w:t>is</w:t>
      </w:r>
      <w:r>
        <w:t xml:space="preserve"> averaged over 2-miles radius.</w:t>
      </w:r>
    </w:p>
    <w:p w14:paraId="6E621E83" w14:textId="77777777" w:rsidR="00427B52" w:rsidRDefault="00000000">
      <w:pPr>
        <w:ind w:left="-15" w:right="72"/>
      </w:pPr>
      <w:r>
        <w:lastRenderedPageBreak/>
        <w:t>Figure 5a-c particularly suggests a similarity between regions with high depth-averaged resistivity and leaching GWPAs. However, we also observe instances of depth-averaged resistivity as low as 10 (ohm-m) or lower in Figure 5d for areas inside GWPA. We hypothesize that this discrepancy stems from regions where the topsoil is coarse, but the subsurface conditions tend toward the finer end of the spectrum, leading to a lower overall depth-averaged resistivity.</w:t>
      </w:r>
    </w:p>
    <w:p w14:paraId="453972F6" w14:textId="333E2678" w:rsidR="00427B52" w:rsidRDefault="00000000">
      <w:pPr>
        <w:ind w:left="-15" w:right="304"/>
      </w:pPr>
      <w:r>
        <w:t>The apparent lack of correlation between nitrate concentrations and either GWPAs or subsurface resistivity could be due to missing essential data or the dominant influence of regional factors. This suggests that even localized pollution control measures may be insufficient to address the larger regional issue. Our findings resonate with previous research indicating that nitrate can travel substantial distances within aquifers [</w:t>
      </w:r>
      <w:proofErr w:type="spellStart"/>
      <w:r>
        <w:rPr>
          <w:i/>
        </w:rPr>
        <w:t>Bastani</w:t>
      </w:r>
      <w:proofErr w:type="spellEnd"/>
      <w:r>
        <w:rPr>
          <w:i/>
        </w:rPr>
        <w:t xml:space="preserve"> and Harter</w:t>
      </w:r>
      <w:r>
        <w:t xml:space="preserve">, 2019]. The continual accumulation of pollution in wells serves as a striking example of the tragedy of the </w:t>
      </w:r>
      <w:r w:rsidR="007B6709">
        <w:t>common’s</w:t>
      </w:r>
      <w:r>
        <w:t xml:space="preserve"> dilemma. Hence, while localized efforts to mitigate nitrate pollution may have some impact, they are unlikely to substantially resolve the broader issue, thereby emphasizing the need for coordinated regional initiatives.</w:t>
      </w:r>
    </w:p>
    <w:p w14:paraId="47FC2C72" w14:textId="4876AF43" w:rsidR="00427B52" w:rsidRDefault="00000000">
      <w:pPr>
        <w:spacing w:after="414"/>
        <w:ind w:left="-15" w:right="304"/>
      </w:pPr>
      <w:proofErr w:type="gramStart"/>
      <w:r>
        <w:t>In light of</w:t>
      </w:r>
      <w:proofErr w:type="gramEnd"/>
      <w:r>
        <w:t xml:space="preserve"> our findings, the necessity for a more integrated, </w:t>
      </w:r>
      <w:r w:rsidR="007B6709">
        <w:t>regionally focused</w:t>
      </w:r>
      <w:r>
        <w:t xml:space="preserve"> strategy becomes increasingly evident in order to effectively address nitrate accumulation and preserve groundwater resources. A viable option could involve regulating nitrogen inputs from various sources across the Central Valley, supplemented by additional guidelines on nitrogen input in regions more susceptible to leaching based on redox conditions and soil properties. By broadening the focus beyond isolated Groundwater Protection Areas (GWPAs) to encompass overall processes and regional dynamics, policymakers have the potential to design more precise interventions. This strategy could result in a more resilient and sustainable approach to managing our indispensable groundwater resources.</w:t>
      </w:r>
    </w:p>
    <w:p w14:paraId="3041EC87" w14:textId="77777777" w:rsidR="00427B52" w:rsidRDefault="00000000">
      <w:pPr>
        <w:pStyle w:val="Heading2"/>
        <w:spacing w:after="309"/>
        <w:ind w:left="909" w:right="373" w:hanging="446"/>
      </w:pPr>
      <w:r>
        <w:t>Conclusions</w:t>
      </w:r>
    </w:p>
    <w:p w14:paraId="6C1BCC16" w14:textId="43B6FCF0" w:rsidR="00427B52" w:rsidRDefault="00000000">
      <w:pPr>
        <w:spacing w:after="364"/>
        <w:ind w:left="-15" w:right="304"/>
      </w:pPr>
      <w:r>
        <w:t xml:space="preserve">This study advances our understanding of the influence of local subsurface soil properties to control groundwater nitrate pollution in the wells of California’s Central Valley. Our analysis of resistivity and nitrate concentration highlights that thick, very </w:t>
      </w:r>
      <w:r w:rsidR="007B6709">
        <w:t>low resistivity</w:t>
      </w:r>
      <w:r>
        <w:t xml:space="preserve"> clay layers can effectively curtail nitrate leaching into the groundwater. However, this correlation between depth average resistivity and nitrate concentration tends to diminish as resistivity values increase. Further bolstering our investigation, we employ a machine </w:t>
      </w:r>
      <w:r>
        <w:lastRenderedPageBreak/>
        <w:t>learning model to assess the marginal predictive power of depth average resistivity in estimating the mean nitrate levels in wells. Our findings indicate that while resistivity can enhance the prediction accuracy of mean nitrate levels, the extent of this improvement is notably limited. These revelations carry profound implications for policy dialogues surrounding groundwater protection. They suggest that nitrate pollution is predominantly a regional concern, thereby mandating a regionally coordinated approach to pollution control.</w:t>
      </w:r>
    </w:p>
    <w:p w14:paraId="0171480E" w14:textId="77777777" w:rsidR="00427B52" w:rsidRDefault="00000000">
      <w:pPr>
        <w:pStyle w:val="Heading1"/>
        <w:numPr>
          <w:ilvl w:val="0"/>
          <w:numId w:val="0"/>
        </w:numPr>
        <w:ind w:left="-5"/>
      </w:pPr>
      <w:r>
        <w:t>Acknowledgements</w:t>
      </w:r>
    </w:p>
    <w:p w14:paraId="71E5EF50" w14:textId="77777777" w:rsidR="00427B52" w:rsidRDefault="00000000">
      <w:pPr>
        <w:spacing w:line="259" w:lineRule="auto"/>
        <w:ind w:left="478" w:right="304" w:firstLine="0"/>
      </w:pPr>
      <w:r>
        <w:t>This work was supported by the X. Many of our colleagues at Stanford University,</w:t>
      </w:r>
    </w:p>
    <w:p w14:paraId="1D1AD30A" w14:textId="77777777" w:rsidR="00427B52" w:rsidRDefault="00000000">
      <w:pPr>
        <w:spacing w:after="364"/>
        <w:ind w:left="-15" w:right="304" w:firstLine="0"/>
      </w:pPr>
      <w:r>
        <w:t xml:space="preserve">Environmental Geophysics Group, SIGMA Research Group, </w:t>
      </w:r>
      <w:proofErr w:type="spellStart"/>
      <w:r>
        <w:t>RegLab</w:t>
      </w:r>
      <w:proofErr w:type="spellEnd"/>
      <w:r>
        <w:t xml:space="preserve">, USGS, DPR, UC Davis, GEUS have contributed to this work through insightful discussions, including but not limited to </w:t>
      </w:r>
      <w:proofErr w:type="spellStart"/>
      <w:r>
        <w:t>Seogi</w:t>
      </w:r>
      <w:proofErr w:type="spellEnd"/>
      <w:r>
        <w:t xml:space="preserve"> Kang, Meredith Goebel, Michael Morphew, Kit </w:t>
      </w:r>
      <w:proofErr w:type="spellStart"/>
      <w:r>
        <w:t>Rodolfa</w:t>
      </w:r>
      <w:proofErr w:type="spellEnd"/>
      <w:r>
        <w:t xml:space="preserve">, Isabel Gallegos, Thomas Harter, Katherine Ransom, and </w:t>
      </w:r>
      <w:proofErr w:type="spellStart"/>
      <w:r>
        <w:t>Birgitte</w:t>
      </w:r>
      <w:proofErr w:type="spellEnd"/>
      <w:r>
        <w:t xml:space="preserve"> Hansen.</w:t>
      </w:r>
    </w:p>
    <w:p w14:paraId="291EF921" w14:textId="77777777" w:rsidR="00427B52" w:rsidRDefault="00000000">
      <w:pPr>
        <w:pStyle w:val="Heading1"/>
        <w:numPr>
          <w:ilvl w:val="0"/>
          <w:numId w:val="0"/>
        </w:numPr>
        <w:ind w:left="-5"/>
      </w:pPr>
      <w:r>
        <w:t>References</w:t>
      </w:r>
    </w:p>
    <w:p w14:paraId="2448404E" w14:textId="77777777" w:rsidR="00427B52" w:rsidRDefault="00000000">
      <w:pPr>
        <w:spacing w:after="17"/>
        <w:ind w:left="184" w:right="304" w:hanging="199"/>
      </w:pPr>
      <w:proofErr w:type="spellStart"/>
      <w:r>
        <w:t>Almasri</w:t>
      </w:r>
      <w:proofErr w:type="spellEnd"/>
      <w:r>
        <w:t xml:space="preserve">, M. N., and J. J. </w:t>
      </w:r>
      <w:proofErr w:type="spellStart"/>
      <w:r>
        <w:t>Kaluarachchi</w:t>
      </w:r>
      <w:proofErr w:type="spellEnd"/>
      <w:r>
        <w:t xml:space="preserve"> (2007), Modeling nitrate contamination of groundwater in agricultural watersheds, </w:t>
      </w:r>
      <w:r>
        <w:rPr>
          <w:i/>
        </w:rPr>
        <w:t>Journal of Hydrology</w:t>
      </w:r>
      <w:r>
        <w:t xml:space="preserve">, </w:t>
      </w:r>
      <w:r>
        <w:rPr>
          <w:i/>
        </w:rPr>
        <w:t>343</w:t>
      </w:r>
      <w:r>
        <w:t>(3-4), 211–229.</w:t>
      </w:r>
    </w:p>
    <w:p w14:paraId="02D7B799" w14:textId="77777777" w:rsidR="00427B52" w:rsidRDefault="00000000">
      <w:pPr>
        <w:spacing w:after="17"/>
        <w:ind w:left="184" w:right="569" w:hanging="199"/>
      </w:pPr>
      <w:r>
        <w:t xml:space="preserve">Baker, L. A. (1992), Introduction to nonpoint source pollution in the United States and prospects for wetland use, </w:t>
      </w:r>
      <w:r>
        <w:rPr>
          <w:i/>
        </w:rPr>
        <w:t>Ecological Engineering</w:t>
      </w:r>
      <w:r>
        <w:t xml:space="preserve">, </w:t>
      </w:r>
      <w:r>
        <w:rPr>
          <w:i/>
        </w:rPr>
        <w:t>1</w:t>
      </w:r>
      <w:r>
        <w:t>(1-2), 1–26.</w:t>
      </w:r>
    </w:p>
    <w:p w14:paraId="28AB1218" w14:textId="77777777" w:rsidR="00427B52" w:rsidRDefault="00000000">
      <w:pPr>
        <w:spacing w:after="16" w:line="415" w:lineRule="auto"/>
        <w:ind w:left="194" w:right="1152" w:hanging="209"/>
        <w:jc w:val="both"/>
      </w:pPr>
      <w:proofErr w:type="spellStart"/>
      <w:r>
        <w:t>Bastani</w:t>
      </w:r>
      <w:proofErr w:type="spellEnd"/>
      <w:r>
        <w:t xml:space="preserve">, M., and T. Harter (2019), Source area management practices as remediation tool to address groundwater nitrate pollution in drinking supply wells, </w:t>
      </w:r>
      <w:r>
        <w:rPr>
          <w:i/>
        </w:rPr>
        <w:t>Journal of contaminant hydrology</w:t>
      </w:r>
      <w:r>
        <w:t xml:space="preserve">, </w:t>
      </w:r>
      <w:r>
        <w:rPr>
          <w:i/>
        </w:rPr>
        <w:t>226</w:t>
      </w:r>
      <w:r>
        <w:t>, 103,521.</w:t>
      </w:r>
    </w:p>
    <w:p w14:paraId="45E1EE53" w14:textId="77777777" w:rsidR="00427B52" w:rsidRDefault="00000000">
      <w:pPr>
        <w:spacing w:after="19"/>
        <w:ind w:left="184" w:right="304" w:hanging="199"/>
      </w:pPr>
      <w:proofErr w:type="spellStart"/>
      <w:r>
        <w:t>Beaujean</w:t>
      </w:r>
      <w:proofErr w:type="spellEnd"/>
      <w:r>
        <w:t xml:space="preserve">, J., J.-M. Lemieux, A. </w:t>
      </w:r>
      <w:proofErr w:type="spellStart"/>
      <w:r>
        <w:t>Dassargues</w:t>
      </w:r>
      <w:proofErr w:type="spellEnd"/>
      <w:r>
        <w:t xml:space="preserve">, R. Therrien, and S. </w:t>
      </w:r>
      <w:proofErr w:type="spellStart"/>
      <w:r>
        <w:t>Brouy`ere</w:t>
      </w:r>
      <w:proofErr w:type="spellEnd"/>
      <w:r>
        <w:t xml:space="preserve"> (2014), Physically based groundwater vulnerability assessment using sensitivity analysis methods, </w:t>
      </w:r>
      <w:r>
        <w:rPr>
          <w:i/>
        </w:rPr>
        <w:t>Groundwater</w:t>
      </w:r>
      <w:r>
        <w:t xml:space="preserve">, </w:t>
      </w:r>
      <w:r>
        <w:rPr>
          <w:i/>
        </w:rPr>
        <w:t>52</w:t>
      </w:r>
      <w:r>
        <w:t>(6), 864–874.</w:t>
      </w:r>
    </w:p>
    <w:p w14:paraId="0780BB33" w14:textId="77777777" w:rsidR="00427B52" w:rsidRDefault="00000000">
      <w:pPr>
        <w:spacing w:after="40"/>
        <w:ind w:left="184" w:right="664" w:hanging="199"/>
      </w:pPr>
      <w:proofErr w:type="spellStart"/>
      <w:r>
        <w:t>Behroozmand</w:t>
      </w:r>
      <w:proofErr w:type="spellEnd"/>
      <w:r>
        <w:t xml:space="preserve">, A. A., E. </w:t>
      </w:r>
      <w:proofErr w:type="spellStart"/>
      <w:r>
        <w:t>Auken</w:t>
      </w:r>
      <w:proofErr w:type="spellEnd"/>
      <w:r>
        <w:t xml:space="preserve">, and R. Knight (2019), Assessment of managed aquifer recharge sites using a new geophysical imaging method, </w:t>
      </w:r>
      <w:r>
        <w:rPr>
          <w:i/>
        </w:rPr>
        <w:t>Vadose Zone Journal</w:t>
      </w:r>
      <w:r>
        <w:t xml:space="preserve">, </w:t>
      </w:r>
      <w:r>
        <w:rPr>
          <w:i/>
        </w:rPr>
        <w:t>18</w:t>
      </w:r>
      <w:r>
        <w:t>(1), 1–13.</w:t>
      </w:r>
    </w:p>
    <w:p w14:paraId="709A4D38" w14:textId="77777777" w:rsidR="00427B52" w:rsidRDefault="00000000">
      <w:pPr>
        <w:spacing w:line="259" w:lineRule="auto"/>
        <w:ind w:left="-15" w:right="304" w:firstLine="0"/>
      </w:pPr>
      <w:r>
        <w:t xml:space="preserve">Bertoldi, G. L., R. H. Johnston, and K. D. Evenson (1991), </w:t>
      </w:r>
      <w:r>
        <w:rPr>
          <w:i/>
        </w:rPr>
        <w:t>Ground water in the</w:t>
      </w:r>
    </w:p>
    <w:p w14:paraId="6A91584C" w14:textId="77777777" w:rsidR="00427B52" w:rsidRDefault="00000000">
      <w:pPr>
        <w:spacing w:after="174" w:line="259" w:lineRule="auto"/>
        <w:ind w:left="194" w:right="0" w:hanging="10"/>
      </w:pPr>
      <w:r>
        <w:rPr>
          <w:i/>
        </w:rPr>
        <w:t>Central Valley, California: a summary report</w:t>
      </w:r>
      <w:r>
        <w:t>, 1401, US Government Printing</w:t>
      </w:r>
    </w:p>
    <w:p w14:paraId="64F55EA8" w14:textId="77777777" w:rsidR="00427B52" w:rsidRDefault="00000000">
      <w:pPr>
        <w:spacing w:after="189" w:line="259" w:lineRule="auto"/>
        <w:ind w:left="199" w:right="304" w:firstLine="0"/>
      </w:pPr>
      <w:r>
        <w:t>Office.</w:t>
      </w:r>
    </w:p>
    <w:p w14:paraId="343D4752" w14:textId="77777777" w:rsidR="00427B52" w:rsidRDefault="00000000">
      <w:pPr>
        <w:spacing w:after="16" w:line="415" w:lineRule="auto"/>
        <w:ind w:left="194" w:right="1065" w:hanging="209"/>
        <w:jc w:val="both"/>
      </w:pPr>
      <w:proofErr w:type="spellStart"/>
      <w:r>
        <w:lastRenderedPageBreak/>
        <w:t>Burow</w:t>
      </w:r>
      <w:proofErr w:type="spellEnd"/>
      <w:r>
        <w:t xml:space="preserve">, K. R., S. V. Stork, and N. M. </w:t>
      </w:r>
      <w:proofErr w:type="spellStart"/>
      <w:r>
        <w:t>Dubrovsky</w:t>
      </w:r>
      <w:proofErr w:type="spellEnd"/>
      <w:r>
        <w:t xml:space="preserve"> (1998), </w:t>
      </w:r>
      <w:r>
        <w:rPr>
          <w:i/>
        </w:rPr>
        <w:t>Nitrate and pesticides in ground water of the eastern San Joaquin Valley, California: Occurrence and trends</w:t>
      </w:r>
      <w:r>
        <w:t>, vol. 98, US Department of the Interior, US Geological Survey.</w:t>
      </w:r>
    </w:p>
    <w:p w14:paraId="2DE5EB08" w14:textId="77777777" w:rsidR="00427B52" w:rsidRDefault="00000000">
      <w:pPr>
        <w:spacing w:after="19"/>
        <w:ind w:left="184" w:right="869" w:hanging="199"/>
      </w:pPr>
      <w:proofErr w:type="spellStart"/>
      <w:r>
        <w:t>Burow</w:t>
      </w:r>
      <w:proofErr w:type="spellEnd"/>
      <w:r>
        <w:t xml:space="preserve">, K. R., B. C. Jurgens, K. </w:t>
      </w:r>
      <w:proofErr w:type="spellStart"/>
      <w:r>
        <w:t>Belitz</w:t>
      </w:r>
      <w:proofErr w:type="spellEnd"/>
      <w:r>
        <w:t xml:space="preserve">, and N. M. </w:t>
      </w:r>
      <w:proofErr w:type="spellStart"/>
      <w:r>
        <w:t>Dubrovsky</w:t>
      </w:r>
      <w:proofErr w:type="spellEnd"/>
      <w:r>
        <w:t xml:space="preserve"> (2013), Assessment of regional change in nitrate concentrations in groundwater in the central valley, </w:t>
      </w:r>
      <w:proofErr w:type="spellStart"/>
      <w:r>
        <w:t>california</w:t>
      </w:r>
      <w:proofErr w:type="spellEnd"/>
      <w:r>
        <w:t xml:space="preserve">, </w:t>
      </w:r>
      <w:proofErr w:type="spellStart"/>
      <w:r>
        <w:t>usa</w:t>
      </w:r>
      <w:proofErr w:type="spellEnd"/>
      <w:r>
        <w:t xml:space="preserve">, 1950s–2000s, </w:t>
      </w:r>
      <w:r>
        <w:rPr>
          <w:i/>
        </w:rPr>
        <w:t>Environmental earth sciences</w:t>
      </w:r>
      <w:r>
        <w:t xml:space="preserve">, </w:t>
      </w:r>
      <w:r>
        <w:rPr>
          <w:i/>
        </w:rPr>
        <w:t>69</w:t>
      </w:r>
      <w:r>
        <w:t>(8), 2609–2621.</w:t>
      </w:r>
    </w:p>
    <w:p w14:paraId="68766E5E" w14:textId="77777777" w:rsidR="00427B52" w:rsidRDefault="00000000">
      <w:pPr>
        <w:spacing w:after="8"/>
        <w:ind w:left="184" w:right="434" w:hanging="199"/>
      </w:pPr>
      <w:r>
        <w:t xml:space="preserve">Carle, S. F., B. K. </w:t>
      </w:r>
      <w:proofErr w:type="spellStart"/>
      <w:r>
        <w:t>Esser</w:t>
      </w:r>
      <w:proofErr w:type="spellEnd"/>
      <w:r>
        <w:t xml:space="preserve">, and J. E. Moran (2006), High-resolution simulation of basin-scale nitrate transport considering aquifer system heterogeneity, </w:t>
      </w:r>
      <w:r>
        <w:rPr>
          <w:i/>
        </w:rPr>
        <w:t>Geosphere</w:t>
      </w:r>
      <w:r>
        <w:t xml:space="preserve">, </w:t>
      </w:r>
      <w:r>
        <w:rPr>
          <w:i/>
        </w:rPr>
        <w:t>2</w:t>
      </w:r>
      <w:r>
        <w:t>(4), 195–209.</w:t>
      </w:r>
    </w:p>
    <w:p w14:paraId="2274EB89" w14:textId="77777777" w:rsidR="00427B52" w:rsidRDefault="00000000">
      <w:pPr>
        <w:spacing w:after="21"/>
        <w:ind w:left="184" w:right="748" w:hanging="199"/>
      </w:pPr>
      <w:r>
        <w:t xml:space="preserve">CDPR (2023a), California code of regulations (title 3. food and agriculture) division 6. pesticides and pest control operations, </w:t>
      </w:r>
      <w:r>
        <w:rPr>
          <w:rFonts w:ascii="Calibri" w:eastAsia="Calibri" w:hAnsi="Calibri" w:cs="Calibri"/>
        </w:rPr>
        <w:t xml:space="preserve">https://www.cdpr.ca.gov/docs/ </w:t>
      </w:r>
      <w:proofErr w:type="spellStart"/>
      <w:r>
        <w:rPr>
          <w:rFonts w:ascii="Calibri" w:eastAsia="Calibri" w:hAnsi="Calibri" w:cs="Calibri"/>
        </w:rPr>
        <w:t>legbills</w:t>
      </w:r>
      <w:proofErr w:type="spellEnd"/>
      <w:r>
        <w:rPr>
          <w:rFonts w:ascii="Calibri" w:eastAsia="Calibri" w:hAnsi="Calibri" w:cs="Calibri"/>
        </w:rPr>
        <w:t>/</w:t>
      </w:r>
      <w:proofErr w:type="spellStart"/>
      <w:r>
        <w:rPr>
          <w:rFonts w:ascii="Calibri" w:eastAsia="Calibri" w:hAnsi="Calibri" w:cs="Calibri"/>
        </w:rPr>
        <w:t>calcode</w:t>
      </w:r>
      <w:proofErr w:type="spellEnd"/>
      <w:r>
        <w:rPr>
          <w:rFonts w:ascii="Calibri" w:eastAsia="Calibri" w:hAnsi="Calibri" w:cs="Calibri"/>
        </w:rPr>
        <w:t>/040101.htm#a6800</w:t>
      </w:r>
      <w:r>
        <w:t>.</w:t>
      </w:r>
    </w:p>
    <w:p w14:paraId="7A7CA302" w14:textId="77777777" w:rsidR="00427B52" w:rsidRDefault="00000000">
      <w:pPr>
        <w:spacing w:after="21"/>
        <w:ind w:left="184" w:right="304" w:hanging="199"/>
      </w:pPr>
      <w:r>
        <w:t xml:space="preserve">CDPR (2023b), Pesticide use regulations to protect groundwater, </w:t>
      </w:r>
      <w:r>
        <w:rPr>
          <w:rFonts w:ascii="Calibri" w:eastAsia="Calibri" w:hAnsi="Calibri" w:cs="Calibri"/>
        </w:rPr>
        <w:t>https:// www.cdpr.ca.gov/docs/emon/grndwtr/regs/pesticide use.htm</w:t>
      </w:r>
      <w:r>
        <w:t>.</w:t>
      </w:r>
    </w:p>
    <w:p w14:paraId="1A86856E" w14:textId="77777777" w:rsidR="00427B52" w:rsidRDefault="00000000">
      <w:pPr>
        <w:spacing w:after="24"/>
        <w:ind w:left="184" w:right="304" w:hanging="199"/>
      </w:pPr>
      <w:r>
        <w:t xml:space="preserve">CDPR (2023c), Pesticide contamination prevention act review process, </w:t>
      </w:r>
      <w:r>
        <w:rPr>
          <w:rFonts w:ascii="Calibri" w:eastAsia="Calibri" w:hAnsi="Calibri" w:cs="Calibri"/>
        </w:rPr>
        <w:t>https:// www.cdpr.ca.gov/docs/emon/grndwtr/pcpa review.htm</w:t>
      </w:r>
      <w:r>
        <w:t>.</w:t>
      </w:r>
    </w:p>
    <w:p w14:paraId="35B9909F" w14:textId="77777777" w:rsidR="00427B52" w:rsidRDefault="00000000">
      <w:pPr>
        <w:spacing w:after="185" w:line="259" w:lineRule="auto"/>
        <w:ind w:left="-15" w:right="304" w:firstLine="0"/>
      </w:pPr>
      <w:r>
        <w:t xml:space="preserve">CDPR (2023), Locations of ground water protection areas, </w:t>
      </w:r>
      <w:r>
        <w:rPr>
          <w:rFonts w:ascii="Calibri" w:eastAsia="Calibri" w:hAnsi="Calibri" w:cs="Calibri"/>
        </w:rPr>
        <w:t>https://www.cdpr.ca</w:t>
      </w:r>
    </w:p>
    <w:p w14:paraId="2AEDFE6D" w14:textId="77777777" w:rsidR="00427B52" w:rsidRDefault="00000000">
      <w:pPr>
        <w:spacing w:after="160" w:line="259" w:lineRule="auto"/>
        <w:ind w:left="194" w:right="316" w:hanging="10"/>
      </w:pPr>
      <w:r>
        <w:rPr>
          <w:rFonts w:ascii="Calibri" w:eastAsia="Calibri" w:hAnsi="Calibri" w:cs="Calibri"/>
        </w:rPr>
        <w:t>.gov/docs/</w:t>
      </w:r>
      <w:proofErr w:type="spellStart"/>
      <w:r>
        <w:rPr>
          <w:rFonts w:ascii="Calibri" w:eastAsia="Calibri" w:hAnsi="Calibri" w:cs="Calibri"/>
        </w:rPr>
        <w:t>emon</w:t>
      </w:r>
      <w:proofErr w:type="spellEnd"/>
      <w:r>
        <w:rPr>
          <w:rFonts w:ascii="Calibri" w:eastAsia="Calibri" w:hAnsi="Calibri" w:cs="Calibri"/>
        </w:rPr>
        <w:t>/</w:t>
      </w:r>
      <w:proofErr w:type="spellStart"/>
      <w:r>
        <w:rPr>
          <w:rFonts w:ascii="Calibri" w:eastAsia="Calibri" w:hAnsi="Calibri" w:cs="Calibri"/>
        </w:rPr>
        <w:t>grndwtr</w:t>
      </w:r>
      <w:proofErr w:type="spellEnd"/>
      <w:r>
        <w:rPr>
          <w:rFonts w:ascii="Calibri" w:eastAsia="Calibri" w:hAnsi="Calibri" w:cs="Calibri"/>
        </w:rPr>
        <w:t>/</w:t>
      </w:r>
      <w:proofErr w:type="spellStart"/>
      <w:r>
        <w:rPr>
          <w:rFonts w:ascii="Calibri" w:eastAsia="Calibri" w:hAnsi="Calibri" w:cs="Calibri"/>
        </w:rPr>
        <w:t>gwpa</w:t>
      </w:r>
      <w:proofErr w:type="spellEnd"/>
      <w:r>
        <w:rPr>
          <w:rFonts w:ascii="Calibri" w:eastAsia="Calibri" w:hAnsi="Calibri" w:cs="Calibri"/>
        </w:rPr>
        <w:t xml:space="preserve"> locations.htm</w:t>
      </w:r>
      <w:r>
        <w:t>.</w:t>
      </w:r>
    </w:p>
    <w:p w14:paraId="07466D33" w14:textId="77777777" w:rsidR="00427B52" w:rsidRDefault="00000000">
      <w:pPr>
        <w:spacing w:after="0"/>
        <w:ind w:left="184" w:right="1411" w:hanging="199"/>
      </w:pPr>
      <w:r>
        <w:t xml:space="preserve">CDPR (2023a), California department of pesticide regulation. scientific basis for identifying ground water protection areas. last access: March 2023, </w:t>
      </w:r>
      <w:r>
        <w:rPr>
          <w:rFonts w:ascii="Calibri" w:eastAsia="Calibri" w:hAnsi="Calibri" w:cs="Calibri"/>
        </w:rPr>
        <w:t>http://www.cdpr.ca.gov/docs/emon/grndwtr/vasmnt.htm</w:t>
      </w:r>
      <w:r>
        <w:t>.</w:t>
      </w:r>
    </w:p>
    <w:p w14:paraId="33D7E996" w14:textId="77777777" w:rsidR="00427B52" w:rsidRDefault="00000000">
      <w:pPr>
        <w:spacing w:after="1"/>
        <w:ind w:left="184" w:right="776" w:hanging="199"/>
      </w:pPr>
      <w:r>
        <w:t xml:space="preserve">CDPR (2023b), California department of pesticide regulation. identifying pathways, mechanisms, and mitigation measures. last access: March 2023, </w:t>
      </w:r>
      <w:r>
        <w:rPr>
          <w:rFonts w:ascii="Calibri" w:eastAsia="Calibri" w:hAnsi="Calibri" w:cs="Calibri"/>
        </w:rPr>
        <w:t>http:// www.cdpr.ca.gov/docs/emon/grndwtr/contproc.htm</w:t>
      </w:r>
      <w:r>
        <w:t>.</w:t>
      </w:r>
    </w:p>
    <w:p w14:paraId="7D28F1D6" w14:textId="77777777" w:rsidR="00427B52" w:rsidRDefault="00000000">
      <w:pPr>
        <w:spacing w:after="3"/>
        <w:ind w:left="184" w:right="304" w:hanging="199"/>
      </w:pPr>
      <w:r>
        <w:t xml:space="preserve">CDWR (), Conduct airborne electromagnetic </w:t>
      </w:r>
      <w:proofErr w:type="spellStart"/>
      <w:proofErr w:type="gramStart"/>
      <w:r>
        <w:t>surveys,california</w:t>
      </w:r>
      <w:proofErr w:type="spellEnd"/>
      <w:proofErr w:type="gramEnd"/>
      <w:r>
        <w:t xml:space="preserve"> department of water resources, sustainable groundwater management program, </w:t>
      </w:r>
      <w:r>
        <w:rPr>
          <w:rFonts w:ascii="Calibri" w:eastAsia="Calibri" w:hAnsi="Calibri" w:cs="Calibri"/>
        </w:rPr>
        <w:t>https://water.ca</w:t>
      </w:r>
    </w:p>
    <w:p w14:paraId="26D2907C" w14:textId="77777777" w:rsidR="00427B52" w:rsidRDefault="00000000">
      <w:pPr>
        <w:spacing w:after="49" w:line="407" w:lineRule="auto"/>
        <w:ind w:left="194" w:right="316" w:hanging="10"/>
      </w:pPr>
      <w:r>
        <w:rPr>
          <w:rFonts w:ascii="Calibri" w:eastAsia="Calibri" w:hAnsi="Calibri" w:cs="Calibri"/>
        </w:rPr>
        <w:t>.gov/-/media/DWR-Website/Web-Pages/Programs/Groundwater-Management/ Data-and-Tools/Files/Prop68/P1-2020-AEM-Fact-Sheet.pdf</w:t>
      </w:r>
      <w:r>
        <w:t>, proposition 68 Funded Project.</w:t>
      </w:r>
    </w:p>
    <w:p w14:paraId="76FDB48B" w14:textId="77777777" w:rsidR="00427B52" w:rsidRDefault="00000000">
      <w:pPr>
        <w:spacing w:line="259" w:lineRule="auto"/>
        <w:ind w:left="-15" w:right="304" w:firstLine="0"/>
      </w:pPr>
      <w:r>
        <w:t xml:space="preserve">CDWR (2021), Airborne Electromagnetic (AEM) Surveys, </w:t>
      </w:r>
      <w:r>
        <w:rPr>
          <w:rFonts w:ascii="Calibri" w:eastAsia="Calibri" w:hAnsi="Calibri" w:cs="Calibri"/>
        </w:rPr>
        <w:t>https://water.ca.gov/</w:t>
      </w:r>
    </w:p>
    <w:p w14:paraId="7E042DFB" w14:textId="77777777" w:rsidR="00427B52" w:rsidRDefault="00000000">
      <w:pPr>
        <w:spacing w:line="259" w:lineRule="auto"/>
        <w:ind w:left="199" w:right="304" w:firstLine="0"/>
      </w:pPr>
      <w:r>
        <w:rPr>
          <w:rFonts w:ascii="Calibri" w:eastAsia="Calibri" w:hAnsi="Calibri" w:cs="Calibri"/>
        </w:rPr>
        <w:t>Programs/SGMA/AEM</w:t>
      </w:r>
      <w:r>
        <w:t>, [Accessed: March 1, 2023].</w:t>
      </w:r>
    </w:p>
    <w:p w14:paraId="0164EF32" w14:textId="77777777" w:rsidR="00427B52" w:rsidRDefault="00000000">
      <w:pPr>
        <w:spacing w:after="19"/>
        <w:ind w:left="184" w:right="304" w:hanging="199"/>
      </w:pPr>
      <w:r>
        <w:t xml:space="preserve">Christiansen, A. V., N. </w:t>
      </w:r>
      <w:proofErr w:type="spellStart"/>
      <w:r>
        <w:t>Foged</w:t>
      </w:r>
      <w:proofErr w:type="spellEnd"/>
      <w:r>
        <w:t xml:space="preserve">, and E. </w:t>
      </w:r>
      <w:proofErr w:type="spellStart"/>
      <w:r>
        <w:t>Auken</w:t>
      </w:r>
      <w:proofErr w:type="spellEnd"/>
      <w:r>
        <w:t xml:space="preserve"> (2014), A concept for calculating accumulated clay thickness from borehole lithological logs and resistivity models for nitrate vulnerability assessment, </w:t>
      </w:r>
      <w:r>
        <w:rPr>
          <w:i/>
        </w:rPr>
        <w:t>Journal of Applied Geophysics</w:t>
      </w:r>
      <w:r>
        <w:t xml:space="preserve">, </w:t>
      </w:r>
      <w:r>
        <w:rPr>
          <w:i/>
        </w:rPr>
        <w:t>108</w:t>
      </w:r>
      <w:r>
        <w:t>, 69–77.</w:t>
      </w:r>
    </w:p>
    <w:p w14:paraId="18391221" w14:textId="77777777" w:rsidR="00427B52" w:rsidRDefault="00000000">
      <w:pPr>
        <w:spacing w:after="11"/>
        <w:ind w:left="184" w:right="304" w:hanging="199"/>
      </w:pPr>
      <w:r>
        <w:lastRenderedPageBreak/>
        <w:t xml:space="preserve">CSWCB (2009), Gama domestic well project groundwater quality data report </w:t>
      </w:r>
      <w:proofErr w:type="spellStart"/>
      <w:r>
        <w:t>tulare</w:t>
      </w:r>
      <w:proofErr w:type="spellEnd"/>
      <w:r>
        <w:t xml:space="preserve"> county focus area, groundwater protection section, </w:t>
      </w:r>
      <w:proofErr w:type="spellStart"/>
      <w:r>
        <w:t>gama</w:t>
      </w:r>
      <w:proofErr w:type="spellEnd"/>
      <w:r>
        <w:t xml:space="preserve"> program.</w:t>
      </w:r>
    </w:p>
    <w:p w14:paraId="607941F9" w14:textId="77777777" w:rsidR="00427B52" w:rsidRDefault="00000000">
      <w:pPr>
        <w:spacing w:after="19"/>
        <w:ind w:left="184" w:right="540" w:hanging="199"/>
      </w:pPr>
      <w:r>
        <w:t xml:space="preserve">DaSilva, A., and C. </w:t>
      </w:r>
      <w:proofErr w:type="spellStart"/>
      <w:r>
        <w:t>Nordmark</w:t>
      </w:r>
      <w:proofErr w:type="spellEnd"/>
      <w:r>
        <w:t xml:space="preserve"> (2022), Department of pesticide regulation environmental monitoring branch groundwater protection program 1001 </w:t>
      </w:r>
      <w:proofErr w:type="spellStart"/>
      <w:r>
        <w:t>i</w:t>
      </w:r>
      <w:proofErr w:type="spellEnd"/>
      <w:r>
        <w:t xml:space="preserve"> street, po box 4015 </w:t>
      </w:r>
      <w:proofErr w:type="spellStart"/>
      <w:r>
        <w:t>sacramento</w:t>
      </w:r>
      <w:proofErr w:type="spellEnd"/>
      <w:r>
        <w:t xml:space="preserve">, </w:t>
      </w:r>
      <w:proofErr w:type="spellStart"/>
      <w:r>
        <w:t>california</w:t>
      </w:r>
      <w:proofErr w:type="spellEnd"/>
      <w:r>
        <w:t xml:space="preserve"> 95812.</w:t>
      </w:r>
    </w:p>
    <w:p w14:paraId="26E4C576" w14:textId="77777777" w:rsidR="00427B52" w:rsidRDefault="00000000">
      <w:pPr>
        <w:spacing w:after="11"/>
        <w:ind w:left="184" w:right="625" w:hanging="199"/>
      </w:pPr>
      <w:r>
        <w:t>Davis, R. E., F. S. Foote, W. H. Rayner, et al. (1928), Surveying theory and practice, pp. 597–629.</w:t>
      </w:r>
    </w:p>
    <w:p w14:paraId="3178137D" w14:textId="77777777" w:rsidR="00427B52" w:rsidRDefault="00000000">
      <w:pPr>
        <w:spacing w:after="19"/>
        <w:ind w:left="184" w:right="731" w:hanging="199"/>
      </w:pPr>
      <w:proofErr w:type="spellStart"/>
      <w:r>
        <w:t>D’haene</w:t>
      </w:r>
      <w:proofErr w:type="spellEnd"/>
      <w:r>
        <w:t xml:space="preserve">, K., E. </w:t>
      </w:r>
      <w:proofErr w:type="spellStart"/>
      <w:r>
        <w:t>Moreels</w:t>
      </w:r>
      <w:proofErr w:type="spellEnd"/>
      <w:r>
        <w:t xml:space="preserve">, S. De Neve, B. Chaves </w:t>
      </w:r>
      <w:proofErr w:type="spellStart"/>
      <w:r>
        <w:t>Daguilar</w:t>
      </w:r>
      <w:proofErr w:type="spellEnd"/>
      <w:r>
        <w:t xml:space="preserve">, P. </w:t>
      </w:r>
      <w:proofErr w:type="spellStart"/>
      <w:r>
        <w:t>Boeckx</w:t>
      </w:r>
      <w:proofErr w:type="spellEnd"/>
      <w:r>
        <w:t xml:space="preserve">, G. </w:t>
      </w:r>
      <w:proofErr w:type="spellStart"/>
      <w:r>
        <w:t>Hofman</w:t>
      </w:r>
      <w:proofErr w:type="spellEnd"/>
      <w:r>
        <w:t xml:space="preserve">, and O. Van </w:t>
      </w:r>
      <w:proofErr w:type="spellStart"/>
      <w:r>
        <w:t>Cleemput</w:t>
      </w:r>
      <w:proofErr w:type="spellEnd"/>
      <w:r>
        <w:t xml:space="preserve"> (2003), Soil properties influencing the denitrification potential of </w:t>
      </w:r>
      <w:proofErr w:type="spellStart"/>
      <w:r>
        <w:t>flemish</w:t>
      </w:r>
      <w:proofErr w:type="spellEnd"/>
      <w:r>
        <w:t xml:space="preserve"> agricultural soils, </w:t>
      </w:r>
      <w:proofErr w:type="gramStart"/>
      <w:r>
        <w:rPr>
          <w:i/>
        </w:rPr>
        <w:t>Biology</w:t>
      </w:r>
      <w:proofErr w:type="gramEnd"/>
      <w:r>
        <w:rPr>
          <w:i/>
        </w:rPr>
        <w:t xml:space="preserve"> and fertility of soils</w:t>
      </w:r>
      <w:r>
        <w:t xml:space="preserve">, </w:t>
      </w:r>
      <w:r>
        <w:rPr>
          <w:i/>
        </w:rPr>
        <w:t>38</w:t>
      </w:r>
      <w:r>
        <w:t>, 358–366.</w:t>
      </w:r>
    </w:p>
    <w:p w14:paraId="66907128" w14:textId="77777777" w:rsidR="00427B52" w:rsidRDefault="00000000">
      <w:pPr>
        <w:spacing w:after="19"/>
        <w:ind w:left="184" w:right="614" w:hanging="199"/>
      </w:pPr>
      <w:proofErr w:type="spellStart"/>
      <w:r>
        <w:t>Faunt</w:t>
      </w:r>
      <w:proofErr w:type="spellEnd"/>
      <w:r>
        <w:t xml:space="preserve">, C. C., K. </w:t>
      </w:r>
      <w:proofErr w:type="spellStart"/>
      <w:r>
        <w:t>Belitz</w:t>
      </w:r>
      <w:proofErr w:type="spellEnd"/>
      <w:r>
        <w:t xml:space="preserve">, and R. T. Hanson (2010), Development of a </w:t>
      </w:r>
      <w:proofErr w:type="spellStart"/>
      <w:r>
        <w:t>threedimensional</w:t>
      </w:r>
      <w:proofErr w:type="spellEnd"/>
      <w:r>
        <w:t xml:space="preserve"> model of sedimentary texture in valley-fill deposits of central valley, </w:t>
      </w:r>
      <w:proofErr w:type="spellStart"/>
      <w:r>
        <w:t>california</w:t>
      </w:r>
      <w:proofErr w:type="spellEnd"/>
      <w:r>
        <w:t xml:space="preserve">, </w:t>
      </w:r>
      <w:proofErr w:type="spellStart"/>
      <w:r>
        <w:t>usa</w:t>
      </w:r>
      <w:proofErr w:type="spellEnd"/>
      <w:r>
        <w:t xml:space="preserve">, </w:t>
      </w:r>
      <w:r>
        <w:rPr>
          <w:i/>
        </w:rPr>
        <w:t>Hydrogeology Journal</w:t>
      </w:r>
      <w:r>
        <w:t xml:space="preserve">, </w:t>
      </w:r>
      <w:r>
        <w:rPr>
          <w:i/>
        </w:rPr>
        <w:t>18</w:t>
      </w:r>
      <w:r>
        <w:t>(3), 625.</w:t>
      </w:r>
    </w:p>
    <w:p w14:paraId="4E520810" w14:textId="77777777" w:rsidR="00427B52" w:rsidRDefault="00000000">
      <w:pPr>
        <w:spacing w:after="11"/>
        <w:ind w:left="184" w:right="304" w:hanging="199"/>
      </w:pPr>
      <w:r>
        <w:t xml:space="preserve">GAMA (2023), Nitrate data from groundwater wells across </w:t>
      </w:r>
      <w:proofErr w:type="spellStart"/>
      <w:r>
        <w:t>california</w:t>
      </w:r>
      <w:proofErr w:type="spellEnd"/>
      <w:r>
        <w:t>, groundwater ambient monitoring and assessment program.</w:t>
      </w:r>
    </w:p>
    <w:p w14:paraId="3C0C234E" w14:textId="77777777" w:rsidR="00427B52" w:rsidRDefault="00000000">
      <w:pPr>
        <w:spacing w:line="259" w:lineRule="auto"/>
        <w:ind w:left="-15" w:right="304" w:firstLine="0"/>
      </w:pPr>
      <w:proofErr w:type="spellStart"/>
      <w:r>
        <w:t>Husic</w:t>
      </w:r>
      <w:proofErr w:type="spellEnd"/>
      <w:r>
        <w:t xml:space="preserve">, A., J. Fox, E. Adams, W. Ford, C. </w:t>
      </w:r>
      <w:proofErr w:type="spellStart"/>
      <w:r>
        <w:t>Agouridis</w:t>
      </w:r>
      <w:proofErr w:type="spellEnd"/>
      <w:r>
        <w:t xml:space="preserve">, J. </w:t>
      </w:r>
      <w:proofErr w:type="spellStart"/>
      <w:r>
        <w:t>Currens</w:t>
      </w:r>
      <w:proofErr w:type="spellEnd"/>
      <w:r>
        <w:t>, and J. Backus</w:t>
      </w:r>
    </w:p>
    <w:p w14:paraId="38B34AD7" w14:textId="77777777" w:rsidR="00427B52" w:rsidRDefault="00000000">
      <w:pPr>
        <w:spacing w:after="169" w:line="259" w:lineRule="auto"/>
        <w:ind w:left="10" w:right="817" w:hanging="10"/>
        <w:jc w:val="center"/>
      </w:pPr>
      <w:r>
        <w:t>(2019), Nitrate pathways, processes, and timing in an agricultural karst system:</w:t>
      </w:r>
    </w:p>
    <w:p w14:paraId="514AFC56" w14:textId="77777777" w:rsidR="00427B52" w:rsidRDefault="00000000">
      <w:pPr>
        <w:spacing w:after="9"/>
        <w:ind w:left="199" w:right="523" w:firstLine="0"/>
      </w:pPr>
      <w:r>
        <w:t xml:space="preserve">Development and application of a numerical model, </w:t>
      </w:r>
      <w:r>
        <w:rPr>
          <w:i/>
        </w:rPr>
        <w:t>Water Resources Research</w:t>
      </w:r>
      <w:r>
        <w:t xml:space="preserve">, </w:t>
      </w:r>
      <w:r>
        <w:rPr>
          <w:i/>
        </w:rPr>
        <w:t>55</w:t>
      </w:r>
      <w:r>
        <w:t>(3), 2079–2103.</w:t>
      </w:r>
    </w:p>
    <w:p w14:paraId="44BF4E1A" w14:textId="77777777" w:rsidR="00427B52" w:rsidRDefault="00000000">
      <w:pPr>
        <w:spacing w:after="17"/>
        <w:ind w:left="184" w:right="773" w:hanging="199"/>
      </w:pPr>
      <w:proofErr w:type="spellStart"/>
      <w:r>
        <w:t>Jasechko</w:t>
      </w:r>
      <w:proofErr w:type="spellEnd"/>
      <w:r>
        <w:t xml:space="preserve">, S., and D. Perrone (2020), California’s central valley groundwater wells run dry during recent drought, </w:t>
      </w:r>
      <w:r>
        <w:rPr>
          <w:i/>
        </w:rPr>
        <w:t>Earth’s Future</w:t>
      </w:r>
      <w:r>
        <w:t xml:space="preserve">, </w:t>
      </w:r>
      <w:r>
        <w:rPr>
          <w:i/>
        </w:rPr>
        <w:t>8</w:t>
      </w:r>
      <w:r>
        <w:t>(4), e2019EF001,339.</w:t>
      </w:r>
    </w:p>
    <w:p w14:paraId="7A2413A2" w14:textId="77777777" w:rsidR="00427B52" w:rsidRDefault="00000000">
      <w:pPr>
        <w:spacing w:after="5" w:line="431" w:lineRule="auto"/>
        <w:ind w:left="10" w:right="689" w:hanging="10"/>
        <w:jc w:val="center"/>
      </w:pPr>
      <w:r>
        <w:t xml:space="preserve">Johnson, T. D., and K. </w:t>
      </w:r>
      <w:proofErr w:type="spellStart"/>
      <w:r>
        <w:t>Belitz</w:t>
      </w:r>
      <w:proofErr w:type="spellEnd"/>
      <w:r>
        <w:t xml:space="preserve"> (2015), Identifying the location and population served by domestic wells in </w:t>
      </w:r>
      <w:proofErr w:type="spellStart"/>
      <w:r>
        <w:t>california</w:t>
      </w:r>
      <w:proofErr w:type="spellEnd"/>
      <w:r>
        <w:t xml:space="preserve">, </w:t>
      </w:r>
      <w:r>
        <w:rPr>
          <w:i/>
        </w:rPr>
        <w:t>Journal of Hydrology: Regional Studies</w:t>
      </w:r>
      <w:r>
        <w:t xml:space="preserve">, </w:t>
      </w:r>
      <w:r>
        <w:rPr>
          <w:i/>
        </w:rPr>
        <w:t>3</w:t>
      </w:r>
      <w:r>
        <w:t>, 31–86.</w:t>
      </w:r>
    </w:p>
    <w:p w14:paraId="55122609" w14:textId="77777777" w:rsidR="00427B52" w:rsidRDefault="00000000">
      <w:pPr>
        <w:spacing w:after="16" w:line="415" w:lineRule="auto"/>
        <w:ind w:left="194" w:right="956" w:hanging="209"/>
        <w:jc w:val="both"/>
      </w:pPr>
      <w:proofErr w:type="spellStart"/>
      <w:r>
        <w:t>Kalinski</w:t>
      </w:r>
      <w:proofErr w:type="spellEnd"/>
      <w:r>
        <w:t xml:space="preserve">, R., W. Kelly, I. </w:t>
      </w:r>
      <w:proofErr w:type="spellStart"/>
      <w:r>
        <w:t>Bogardi</w:t>
      </w:r>
      <w:proofErr w:type="spellEnd"/>
      <w:r>
        <w:t xml:space="preserve">, and G. </w:t>
      </w:r>
      <w:proofErr w:type="spellStart"/>
      <w:r>
        <w:t>Pesti</w:t>
      </w:r>
      <w:proofErr w:type="spellEnd"/>
      <w:r>
        <w:t xml:space="preserve"> (1993), Electrical resistivity measurements to estimate travel times through unsaturated ground water protective layers, </w:t>
      </w:r>
      <w:r>
        <w:rPr>
          <w:i/>
        </w:rPr>
        <w:t>Journal of Applied Geophysics</w:t>
      </w:r>
      <w:r>
        <w:t xml:space="preserve">, </w:t>
      </w:r>
      <w:r>
        <w:rPr>
          <w:i/>
        </w:rPr>
        <w:t>30</w:t>
      </w:r>
      <w:r>
        <w:t>(3), 161–173.</w:t>
      </w:r>
    </w:p>
    <w:p w14:paraId="344A0E99" w14:textId="77777777" w:rsidR="00427B52" w:rsidRDefault="00000000">
      <w:pPr>
        <w:ind w:left="184" w:right="413" w:hanging="199"/>
      </w:pPr>
      <w:r>
        <w:t xml:space="preserve">Kang, S., R. Knight, T. Greene, C. Buck, and G. Fogg (2021), Exploring the model space of airborne electromagnetic data to delineate large-scale structure and heterogeneity within an aquifer system, </w:t>
      </w:r>
      <w:r>
        <w:rPr>
          <w:i/>
        </w:rPr>
        <w:t>Water Resources Research</w:t>
      </w:r>
      <w:r>
        <w:t xml:space="preserve">, </w:t>
      </w:r>
      <w:r>
        <w:rPr>
          <w:i/>
        </w:rPr>
        <w:t>57</w:t>
      </w:r>
      <w:r>
        <w:t>(10), e2021WR029,699.</w:t>
      </w:r>
    </w:p>
    <w:p w14:paraId="181EC991" w14:textId="77777777" w:rsidR="00427B52" w:rsidRDefault="00000000">
      <w:pPr>
        <w:spacing w:after="19"/>
        <w:ind w:left="184" w:right="665" w:hanging="199"/>
      </w:pPr>
      <w:proofErr w:type="spellStart"/>
      <w:r>
        <w:t>Kazakis</w:t>
      </w:r>
      <w:proofErr w:type="spellEnd"/>
      <w:r>
        <w:t xml:space="preserve">, N., and K. S. </w:t>
      </w:r>
      <w:proofErr w:type="spellStart"/>
      <w:r>
        <w:t>Voudouris</w:t>
      </w:r>
      <w:proofErr w:type="spellEnd"/>
      <w:r>
        <w:t xml:space="preserve"> (2015), Groundwater vulnerability and pollution risk assessment of porous aquifers to nitrate: Modifying the drastic method using quantitative parameters, </w:t>
      </w:r>
      <w:r>
        <w:rPr>
          <w:i/>
        </w:rPr>
        <w:t>Journal of Hydrology</w:t>
      </w:r>
      <w:r>
        <w:t xml:space="preserve">, </w:t>
      </w:r>
      <w:r>
        <w:rPr>
          <w:i/>
        </w:rPr>
        <w:t>525</w:t>
      </w:r>
      <w:r>
        <w:t>, 13–25.</w:t>
      </w:r>
    </w:p>
    <w:p w14:paraId="70278C2D" w14:textId="77777777" w:rsidR="00427B52" w:rsidRDefault="00000000">
      <w:pPr>
        <w:spacing w:after="19"/>
        <w:ind w:left="184" w:right="643" w:hanging="199"/>
      </w:pPr>
      <w:r>
        <w:lastRenderedPageBreak/>
        <w:t xml:space="preserve">Knight, R., R. Smith, T. Asch, J. Abraham, J. </w:t>
      </w:r>
      <w:proofErr w:type="spellStart"/>
      <w:r>
        <w:t>Cannia</w:t>
      </w:r>
      <w:proofErr w:type="spellEnd"/>
      <w:r>
        <w:t xml:space="preserve">, A. </w:t>
      </w:r>
      <w:proofErr w:type="spellStart"/>
      <w:r>
        <w:t>Viezzoli</w:t>
      </w:r>
      <w:proofErr w:type="spellEnd"/>
      <w:r>
        <w:t xml:space="preserve">, and G. Fogg (2018), Mapping aquifer systems with airborne electromagnetics in the central valley of </w:t>
      </w:r>
      <w:proofErr w:type="spellStart"/>
      <w:r>
        <w:t>california</w:t>
      </w:r>
      <w:proofErr w:type="spellEnd"/>
      <w:r>
        <w:t xml:space="preserve">, </w:t>
      </w:r>
      <w:r>
        <w:rPr>
          <w:i/>
        </w:rPr>
        <w:t>Groundwater</w:t>
      </w:r>
      <w:r>
        <w:t xml:space="preserve">, </w:t>
      </w:r>
      <w:r>
        <w:rPr>
          <w:i/>
        </w:rPr>
        <w:t>56</w:t>
      </w:r>
      <w:r>
        <w:t>(6), 893–908.</w:t>
      </w:r>
    </w:p>
    <w:p w14:paraId="383985A5" w14:textId="77777777" w:rsidR="00427B52" w:rsidRDefault="00000000">
      <w:pPr>
        <w:spacing w:after="19"/>
        <w:ind w:left="184" w:right="608" w:hanging="199"/>
      </w:pPr>
      <w:r>
        <w:t xml:space="preserve">Knight, R., K. </w:t>
      </w:r>
      <w:proofErr w:type="spellStart"/>
      <w:r>
        <w:t>Steklova</w:t>
      </w:r>
      <w:proofErr w:type="spellEnd"/>
      <w:r>
        <w:t xml:space="preserve">, A. Miltenberger, S. Kang, M. Goebel, and G. Fogg (2022), Airborne geophysical method images fast paths for managed recharge of </w:t>
      </w:r>
      <w:proofErr w:type="spellStart"/>
      <w:r>
        <w:t>california’s</w:t>
      </w:r>
      <w:proofErr w:type="spellEnd"/>
      <w:r>
        <w:t xml:space="preserve"> groundwater, </w:t>
      </w:r>
      <w:r>
        <w:rPr>
          <w:i/>
        </w:rPr>
        <w:t>Environmental Research Letters</w:t>
      </w:r>
      <w:r>
        <w:t xml:space="preserve">, </w:t>
      </w:r>
      <w:r>
        <w:rPr>
          <w:i/>
        </w:rPr>
        <w:t>17</w:t>
      </w:r>
      <w:r>
        <w:t>(12), 124,021.</w:t>
      </w:r>
    </w:p>
    <w:p w14:paraId="11C8E8FB" w14:textId="77777777" w:rsidR="00427B52" w:rsidRDefault="00000000">
      <w:pPr>
        <w:spacing w:after="19"/>
        <w:ind w:left="184" w:right="375" w:hanging="199"/>
      </w:pPr>
      <w:proofErr w:type="spellStart"/>
      <w:r>
        <w:t>Koutsopoulou</w:t>
      </w:r>
      <w:proofErr w:type="spellEnd"/>
      <w:r>
        <w:t xml:space="preserve">, E., D. Papoulis, P. </w:t>
      </w:r>
      <w:proofErr w:type="spellStart"/>
      <w:r>
        <w:t>Tsolis-Katagas</w:t>
      </w:r>
      <w:proofErr w:type="spellEnd"/>
      <w:r>
        <w:t xml:space="preserve">, and M. </w:t>
      </w:r>
      <w:proofErr w:type="spellStart"/>
      <w:r>
        <w:t>Kornaros</w:t>
      </w:r>
      <w:proofErr w:type="spellEnd"/>
      <w:r>
        <w:t xml:space="preserve"> (2010), Clay minerals used in sanitary landfills for the retention of organic and inorganic pollutants, </w:t>
      </w:r>
      <w:r>
        <w:rPr>
          <w:i/>
        </w:rPr>
        <w:t>Applied Clay Science</w:t>
      </w:r>
      <w:r>
        <w:t xml:space="preserve">, </w:t>
      </w:r>
      <w:r>
        <w:rPr>
          <w:i/>
        </w:rPr>
        <w:t>49</w:t>
      </w:r>
      <w:r>
        <w:t>(4), 372–382.</w:t>
      </w:r>
    </w:p>
    <w:p w14:paraId="639E9716" w14:textId="77777777" w:rsidR="00427B52" w:rsidRDefault="00000000">
      <w:pPr>
        <w:spacing w:after="16" w:line="415" w:lineRule="auto"/>
        <w:ind w:left="194" w:right="1065" w:hanging="209"/>
        <w:jc w:val="both"/>
      </w:pPr>
      <w:proofErr w:type="spellStart"/>
      <w:r>
        <w:t>Lazaratou</w:t>
      </w:r>
      <w:proofErr w:type="spellEnd"/>
      <w:r>
        <w:t xml:space="preserve">, C., D. </w:t>
      </w:r>
      <w:proofErr w:type="spellStart"/>
      <w:r>
        <w:t>Vayenas</w:t>
      </w:r>
      <w:proofErr w:type="spellEnd"/>
      <w:r>
        <w:t xml:space="preserve">, and D. Papoulis (2020), The role of clays, clay minerals and clay-based materials for nitrate removal from water systems: A review, </w:t>
      </w:r>
      <w:r>
        <w:rPr>
          <w:i/>
        </w:rPr>
        <w:t>Applied Clay Science</w:t>
      </w:r>
      <w:r>
        <w:t xml:space="preserve">, </w:t>
      </w:r>
      <w:r>
        <w:rPr>
          <w:i/>
        </w:rPr>
        <w:t>185</w:t>
      </w:r>
      <w:r>
        <w:t>, 105,377.</w:t>
      </w:r>
    </w:p>
    <w:p w14:paraId="5616FFC8" w14:textId="77777777" w:rsidR="00427B52" w:rsidRDefault="00000000">
      <w:pPr>
        <w:spacing w:after="19"/>
        <w:ind w:left="184" w:right="558" w:hanging="199"/>
      </w:pPr>
      <w:r>
        <w:t xml:space="preserve">Lockhart, K., A. King, and T. Harter (2013), Identifying sources of groundwater nitrate contamination in a large alluvial groundwater basin with highly diversified intensive agricultural production, </w:t>
      </w:r>
      <w:r>
        <w:rPr>
          <w:i/>
        </w:rPr>
        <w:t>Journal of contaminant hydrology</w:t>
      </w:r>
      <w:r>
        <w:t xml:space="preserve">, </w:t>
      </w:r>
      <w:r>
        <w:rPr>
          <w:i/>
        </w:rPr>
        <w:t>151</w:t>
      </w:r>
      <w:r>
        <w:t>, 140–154.</w:t>
      </w:r>
    </w:p>
    <w:p w14:paraId="4B5F7EDC" w14:textId="77777777" w:rsidR="00427B52" w:rsidRDefault="00000000">
      <w:pPr>
        <w:spacing w:after="19"/>
        <w:ind w:left="184" w:right="504" w:hanging="199"/>
      </w:pPr>
      <w:proofErr w:type="spellStart"/>
      <w:r>
        <w:t>Machiwal</w:t>
      </w:r>
      <w:proofErr w:type="spellEnd"/>
      <w:r>
        <w:t xml:space="preserve">, D., M. K. Jha, V. P. Singh, and C. Mohan (2018), Assessment and mapping of groundwater vulnerability to pollution: </w:t>
      </w:r>
      <w:proofErr w:type="gramStart"/>
      <w:r>
        <w:t>Current status</w:t>
      </w:r>
      <w:proofErr w:type="gramEnd"/>
      <w:r>
        <w:t xml:space="preserve"> and challenges, </w:t>
      </w:r>
      <w:r>
        <w:rPr>
          <w:i/>
        </w:rPr>
        <w:t>Earth-Science Reviews</w:t>
      </w:r>
      <w:r>
        <w:t xml:space="preserve">, </w:t>
      </w:r>
      <w:r>
        <w:rPr>
          <w:i/>
        </w:rPr>
        <w:t>185</w:t>
      </w:r>
      <w:r>
        <w:t>, 901–927.</w:t>
      </w:r>
    </w:p>
    <w:p w14:paraId="2992AAA5" w14:textId="77777777" w:rsidR="00427B52" w:rsidRDefault="00000000">
      <w:pPr>
        <w:spacing w:after="9"/>
        <w:ind w:left="184" w:right="644" w:hanging="199"/>
      </w:pPr>
      <w:r>
        <w:t xml:space="preserve">Messier, K. P., D. C. Wheeler, A. R. Flory, R. R. Jones, D. Patel, B. T. Nolan, and M. H. Ward (2019), Modeling groundwater nitrate exposure in private wells of north </w:t>
      </w:r>
      <w:proofErr w:type="spellStart"/>
      <w:r>
        <w:t>carolina</w:t>
      </w:r>
      <w:proofErr w:type="spellEnd"/>
      <w:r>
        <w:t xml:space="preserve"> for the agricultural health study, </w:t>
      </w:r>
      <w:r>
        <w:rPr>
          <w:i/>
        </w:rPr>
        <w:t>Science of the Total Environment</w:t>
      </w:r>
      <w:r>
        <w:t xml:space="preserve">, </w:t>
      </w:r>
      <w:r>
        <w:rPr>
          <w:i/>
        </w:rPr>
        <w:t>655</w:t>
      </w:r>
      <w:r>
        <w:t>, 512–519.</w:t>
      </w:r>
    </w:p>
    <w:p w14:paraId="7AA944EB" w14:textId="77777777" w:rsidR="00427B52" w:rsidRDefault="00000000">
      <w:pPr>
        <w:spacing w:after="19"/>
        <w:ind w:left="184" w:right="581" w:hanging="199"/>
      </w:pPr>
      <w:r>
        <w:t>Pepin, K., R. Knight, M. Goebel-</w:t>
      </w:r>
      <w:proofErr w:type="spellStart"/>
      <w:r>
        <w:t>Szenher</w:t>
      </w:r>
      <w:proofErr w:type="spellEnd"/>
      <w:r>
        <w:t xml:space="preserve">, and S. Kang (2022), Managed aquifer recharge site assessment with electromagnetic imaging: Identification of recharge flow paths, </w:t>
      </w:r>
      <w:r>
        <w:rPr>
          <w:i/>
        </w:rPr>
        <w:t>Vadose Zone Journal</w:t>
      </w:r>
      <w:r>
        <w:t xml:space="preserve">, </w:t>
      </w:r>
      <w:r>
        <w:rPr>
          <w:i/>
        </w:rPr>
        <w:t>21</w:t>
      </w:r>
      <w:r>
        <w:t>(3), e20,192.</w:t>
      </w:r>
    </w:p>
    <w:p w14:paraId="4AC5E86D" w14:textId="77777777" w:rsidR="00427B52" w:rsidRDefault="00000000">
      <w:pPr>
        <w:spacing w:after="0"/>
        <w:ind w:left="184" w:right="744" w:hanging="199"/>
      </w:pPr>
      <w:r>
        <w:t xml:space="preserve">Ransom, K. M., M. N. Grote, A. </w:t>
      </w:r>
      <w:proofErr w:type="spellStart"/>
      <w:r>
        <w:t>Deinhart</w:t>
      </w:r>
      <w:proofErr w:type="spellEnd"/>
      <w:r>
        <w:t xml:space="preserve">, G. </w:t>
      </w:r>
      <w:proofErr w:type="spellStart"/>
      <w:r>
        <w:t>Eppich</w:t>
      </w:r>
      <w:proofErr w:type="spellEnd"/>
      <w:r>
        <w:t xml:space="preserve">, C. Kendall, M. E. Sanborn, A. K. </w:t>
      </w:r>
      <w:proofErr w:type="spellStart"/>
      <w:r>
        <w:t>Souders</w:t>
      </w:r>
      <w:proofErr w:type="spellEnd"/>
      <w:r>
        <w:t xml:space="preserve">, J. </w:t>
      </w:r>
      <w:proofErr w:type="spellStart"/>
      <w:r>
        <w:t>Wimpenny</w:t>
      </w:r>
      <w:proofErr w:type="spellEnd"/>
      <w:r>
        <w:t xml:space="preserve">, Q.-z. Yin, M. Young, et al. (2016), Bayesian nitrate source apportionment to individual groundwater wells in the central valley by use of elemental and isotopic tracers, </w:t>
      </w:r>
      <w:r>
        <w:rPr>
          <w:i/>
        </w:rPr>
        <w:t>Water resources research</w:t>
      </w:r>
      <w:r>
        <w:t xml:space="preserve">, </w:t>
      </w:r>
      <w:r>
        <w:rPr>
          <w:i/>
        </w:rPr>
        <w:t>52</w:t>
      </w:r>
      <w:r>
        <w:t>(7), 5577–5597.</w:t>
      </w:r>
    </w:p>
    <w:p w14:paraId="25727D95" w14:textId="77777777" w:rsidR="00427B52" w:rsidRDefault="00000000">
      <w:pPr>
        <w:spacing w:after="18"/>
        <w:ind w:left="184" w:right="758" w:hanging="199"/>
      </w:pPr>
      <w:r>
        <w:t xml:space="preserve">Ransom, K. M., B. T. Nolan, J. A. </w:t>
      </w:r>
      <w:proofErr w:type="spellStart"/>
      <w:r>
        <w:t>Traum</w:t>
      </w:r>
      <w:proofErr w:type="spellEnd"/>
      <w:r>
        <w:t xml:space="preserve">, C. C. </w:t>
      </w:r>
      <w:proofErr w:type="spellStart"/>
      <w:r>
        <w:t>Faunt</w:t>
      </w:r>
      <w:proofErr w:type="spellEnd"/>
      <w:r>
        <w:t xml:space="preserve">, A. M. Bell, J. A. M. </w:t>
      </w:r>
      <w:proofErr w:type="spellStart"/>
      <w:r>
        <w:t>Gronberg</w:t>
      </w:r>
      <w:proofErr w:type="spellEnd"/>
      <w:r>
        <w:t xml:space="preserve">, D. C. Wheeler, C. Z. Rosecrans, B. Jurgens, G. E. Schwarz, et al. (2017), A hybrid machine learning model to predict and visualize nitrate concentration throughout the central valley aquifer, </w:t>
      </w:r>
      <w:proofErr w:type="spellStart"/>
      <w:r>
        <w:t>california</w:t>
      </w:r>
      <w:proofErr w:type="spellEnd"/>
      <w:r>
        <w:t xml:space="preserve">, </w:t>
      </w:r>
      <w:proofErr w:type="spellStart"/>
      <w:r>
        <w:t>usa</w:t>
      </w:r>
      <w:proofErr w:type="spellEnd"/>
      <w:r>
        <w:t xml:space="preserve">, </w:t>
      </w:r>
      <w:r>
        <w:rPr>
          <w:i/>
        </w:rPr>
        <w:t>Science of the Total Environment</w:t>
      </w:r>
      <w:r>
        <w:t xml:space="preserve">, </w:t>
      </w:r>
      <w:r>
        <w:rPr>
          <w:i/>
        </w:rPr>
        <w:t>601</w:t>
      </w:r>
      <w:r>
        <w:t>, 1160–1172.</w:t>
      </w:r>
    </w:p>
    <w:p w14:paraId="34488AC1" w14:textId="77777777" w:rsidR="00427B52" w:rsidRDefault="00000000">
      <w:pPr>
        <w:spacing w:after="9"/>
        <w:ind w:left="184" w:right="304" w:hanging="199"/>
      </w:pPr>
      <w:r>
        <w:lastRenderedPageBreak/>
        <w:t xml:space="preserve">Ransom, K. M., A. M. Bell, Q. E. Barber, G. </w:t>
      </w:r>
      <w:proofErr w:type="spellStart"/>
      <w:r>
        <w:t>Kourakos</w:t>
      </w:r>
      <w:proofErr w:type="spellEnd"/>
      <w:r>
        <w:t xml:space="preserve">, T. Harter, et al. (2018), A </w:t>
      </w:r>
      <w:proofErr w:type="spellStart"/>
      <w:r>
        <w:t>bayesian</w:t>
      </w:r>
      <w:proofErr w:type="spellEnd"/>
      <w:r>
        <w:t xml:space="preserve"> approach to infer nitrogen loading rates from crop and land-use types surrounding private wells in the central valley, </w:t>
      </w:r>
      <w:proofErr w:type="spellStart"/>
      <w:r>
        <w:t>california</w:t>
      </w:r>
      <w:proofErr w:type="spellEnd"/>
      <w:r>
        <w:t xml:space="preserve">, </w:t>
      </w:r>
      <w:proofErr w:type="spellStart"/>
      <w:r>
        <w:rPr>
          <w:i/>
        </w:rPr>
        <w:t>Hydrol</w:t>
      </w:r>
      <w:proofErr w:type="spellEnd"/>
      <w:r>
        <w:rPr>
          <w:i/>
        </w:rPr>
        <w:t>. Earth Syst. Sci</w:t>
      </w:r>
      <w:r>
        <w:t xml:space="preserve">, </w:t>
      </w:r>
      <w:r>
        <w:rPr>
          <w:i/>
        </w:rPr>
        <w:t>22</w:t>
      </w:r>
      <w:r>
        <w:t>(5), 2739–2758.</w:t>
      </w:r>
    </w:p>
    <w:p w14:paraId="5DFFEED8" w14:textId="77777777" w:rsidR="00427B52" w:rsidRDefault="00000000">
      <w:pPr>
        <w:spacing w:after="21"/>
        <w:ind w:left="184" w:right="450" w:hanging="199"/>
      </w:pPr>
      <w:r>
        <w:t xml:space="preserve">Robins, N., P. Chilton, and J. Cobbing (2007), Adapting existing experience with aquifer vulnerability and groundwater protection for </w:t>
      </w:r>
      <w:proofErr w:type="spellStart"/>
      <w:r>
        <w:t>africa</w:t>
      </w:r>
      <w:proofErr w:type="spellEnd"/>
      <w:r>
        <w:t xml:space="preserve">, </w:t>
      </w:r>
      <w:r>
        <w:rPr>
          <w:i/>
        </w:rPr>
        <w:t>Journal of African</w:t>
      </w:r>
    </w:p>
    <w:p w14:paraId="3E7AC16A" w14:textId="77777777" w:rsidR="00427B52" w:rsidRDefault="00000000">
      <w:pPr>
        <w:spacing w:after="174" w:line="259" w:lineRule="auto"/>
        <w:ind w:left="194" w:right="0" w:hanging="10"/>
      </w:pPr>
      <w:r>
        <w:rPr>
          <w:i/>
        </w:rPr>
        <w:t>Earth Sciences</w:t>
      </w:r>
      <w:r>
        <w:t xml:space="preserve">, </w:t>
      </w:r>
      <w:r>
        <w:rPr>
          <w:i/>
        </w:rPr>
        <w:t>47</w:t>
      </w:r>
      <w:r>
        <w:t>(1), 30–38.</w:t>
      </w:r>
    </w:p>
    <w:p w14:paraId="065ADD66" w14:textId="77777777" w:rsidR="00427B52" w:rsidRDefault="00000000">
      <w:pPr>
        <w:spacing w:line="259" w:lineRule="auto"/>
        <w:ind w:left="-15" w:right="304" w:firstLine="0"/>
      </w:pPr>
      <w:r>
        <w:t xml:space="preserve">Rosenstock, T. S., D. </w:t>
      </w:r>
      <w:proofErr w:type="spellStart"/>
      <w:r>
        <w:t>Liptzin</w:t>
      </w:r>
      <w:proofErr w:type="spellEnd"/>
      <w:r>
        <w:t xml:space="preserve">, K. </w:t>
      </w:r>
      <w:proofErr w:type="spellStart"/>
      <w:r>
        <w:t>Dzurella</w:t>
      </w:r>
      <w:proofErr w:type="spellEnd"/>
      <w:r>
        <w:t xml:space="preserve">, A. </w:t>
      </w:r>
      <w:proofErr w:type="spellStart"/>
      <w:r>
        <w:t>Fryjoff</w:t>
      </w:r>
      <w:proofErr w:type="spellEnd"/>
      <w:r>
        <w:t>-Hung, A. Hollander,</w:t>
      </w:r>
    </w:p>
    <w:p w14:paraId="66EC3605" w14:textId="77777777" w:rsidR="00427B52" w:rsidRDefault="00000000">
      <w:pPr>
        <w:spacing w:after="16" w:line="415" w:lineRule="auto"/>
        <w:ind w:left="199" w:right="1143" w:firstLine="0"/>
        <w:jc w:val="both"/>
      </w:pPr>
      <w:r>
        <w:t xml:space="preserve">V. Jensen, A. King, G. </w:t>
      </w:r>
      <w:proofErr w:type="spellStart"/>
      <w:r>
        <w:t>Kourakos</w:t>
      </w:r>
      <w:proofErr w:type="spellEnd"/>
      <w:r>
        <w:t xml:space="preserve">, A. McNally, G. S. Pettygrove, et al. (2014), Agriculture’s contribution to nitrate contamination of </w:t>
      </w:r>
      <w:proofErr w:type="spellStart"/>
      <w:r>
        <w:t>californian</w:t>
      </w:r>
      <w:proofErr w:type="spellEnd"/>
      <w:r>
        <w:t xml:space="preserve"> groundwater (1945–2005), </w:t>
      </w:r>
      <w:r>
        <w:rPr>
          <w:i/>
        </w:rPr>
        <w:t>Journal of environmental quality</w:t>
      </w:r>
      <w:r>
        <w:t xml:space="preserve">, </w:t>
      </w:r>
      <w:r>
        <w:rPr>
          <w:i/>
        </w:rPr>
        <w:t>43</w:t>
      </w:r>
      <w:r>
        <w:t>(3), 895–907.</w:t>
      </w:r>
    </w:p>
    <w:p w14:paraId="0EE13EDA" w14:textId="77777777" w:rsidR="00427B52" w:rsidRDefault="00000000">
      <w:pPr>
        <w:spacing w:after="19"/>
        <w:ind w:left="184" w:right="628" w:hanging="199"/>
      </w:pPr>
      <w:proofErr w:type="spellStart"/>
      <w:r>
        <w:t>Schullehner</w:t>
      </w:r>
      <w:proofErr w:type="spellEnd"/>
      <w:r>
        <w:t xml:space="preserve">, J., B. Hansen, M. </w:t>
      </w:r>
      <w:proofErr w:type="spellStart"/>
      <w:r>
        <w:t>Thygesen</w:t>
      </w:r>
      <w:proofErr w:type="spellEnd"/>
      <w:r>
        <w:t xml:space="preserve">, C. B. Pedersen, and T. </w:t>
      </w:r>
      <w:proofErr w:type="spellStart"/>
      <w:r>
        <w:t>Sigsgaard</w:t>
      </w:r>
      <w:proofErr w:type="spellEnd"/>
      <w:r>
        <w:t xml:space="preserve"> (2018), Nitrate in drinking water and colorectal cancer risk: A nationwide </w:t>
      </w:r>
      <w:proofErr w:type="spellStart"/>
      <w:r>
        <w:t>populationbased</w:t>
      </w:r>
      <w:proofErr w:type="spellEnd"/>
      <w:r>
        <w:t xml:space="preserve"> cohort study, </w:t>
      </w:r>
      <w:proofErr w:type="gramStart"/>
      <w:r>
        <w:rPr>
          <w:i/>
        </w:rPr>
        <w:t>International</w:t>
      </w:r>
      <w:proofErr w:type="gramEnd"/>
      <w:r>
        <w:rPr>
          <w:i/>
        </w:rPr>
        <w:t xml:space="preserve"> journal of cancer</w:t>
      </w:r>
      <w:r>
        <w:t xml:space="preserve">, </w:t>
      </w:r>
      <w:r>
        <w:rPr>
          <w:i/>
        </w:rPr>
        <w:t>143</w:t>
      </w:r>
      <w:r>
        <w:t>(1), 73–79.</w:t>
      </w:r>
    </w:p>
    <w:p w14:paraId="7234ED49" w14:textId="77777777" w:rsidR="00427B52" w:rsidRDefault="00000000">
      <w:pPr>
        <w:spacing w:line="259" w:lineRule="auto"/>
        <w:ind w:left="-15" w:right="304" w:firstLine="0"/>
      </w:pPr>
      <w:r>
        <w:t>Segal, M. R. (2004), Machine learning benchmarks and random forest regression.</w:t>
      </w:r>
    </w:p>
    <w:p w14:paraId="737FFD48" w14:textId="77777777" w:rsidR="00427B52" w:rsidRDefault="00000000">
      <w:pPr>
        <w:spacing w:after="11"/>
        <w:ind w:left="184" w:right="479" w:hanging="199"/>
      </w:pPr>
      <w:r>
        <w:t>SGMA (2014), Sustainable groundwater management act. three-bill legislative package, including AB 1739 (</w:t>
      </w:r>
      <w:proofErr w:type="spellStart"/>
      <w:r>
        <w:t>dickinson</w:t>
      </w:r>
      <w:proofErr w:type="spellEnd"/>
      <w:r>
        <w:t>), SB 1168 (</w:t>
      </w:r>
      <w:proofErr w:type="spellStart"/>
      <w:r>
        <w:t>pavley</w:t>
      </w:r>
      <w:proofErr w:type="spellEnd"/>
      <w:r>
        <w:t>), and SB 1319 (</w:t>
      </w:r>
      <w:proofErr w:type="spellStart"/>
      <w:r>
        <w:t>pavley</w:t>
      </w:r>
      <w:proofErr w:type="spellEnd"/>
      <w:r>
        <w:t>), California State Legislature.</w:t>
      </w:r>
    </w:p>
    <w:p w14:paraId="1024A56D" w14:textId="77777777" w:rsidR="00427B52" w:rsidRDefault="00000000">
      <w:pPr>
        <w:spacing w:after="17"/>
        <w:ind w:left="184" w:right="754" w:hanging="199"/>
      </w:pPr>
      <w:r>
        <w:t xml:space="preserve">Sherris, A. R., M. </w:t>
      </w:r>
      <w:proofErr w:type="spellStart"/>
      <w:r>
        <w:t>Baiocchi</w:t>
      </w:r>
      <w:proofErr w:type="spellEnd"/>
      <w:r>
        <w:t xml:space="preserve">, S. </w:t>
      </w:r>
      <w:proofErr w:type="spellStart"/>
      <w:r>
        <w:t>Fendorf</w:t>
      </w:r>
      <w:proofErr w:type="spellEnd"/>
      <w:r>
        <w:t xml:space="preserve">, S. P. </w:t>
      </w:r>
      <w:proofErr w:type="spellStart"/>
      <w:r>
        <w:t>Luby</w:t>
      </w:r>
      <w:proofErr w:type="spellEnd"/>
      <w:r>
        <w:t xml:space="preserve">, W. Yang, and G. M. Shaw (2021), Nitrate in drinking water during pregnancy and spontaneous preterm birth: a retrospective within-mother analysis in </w:t>
      </w:r>
      <w:proofErr w:type="spellStart"/>
      <w:r>
        <w:t>california</w:t>
      </w:r>
      <w:proofErr w:type="spellEnd"/>
      <w:r>
        <w:t xml:space="preserve">, </w:t>
      </w:r>
      <w:r>
        <w:rPr>
          <w:i/>
        </w:rPr>
        <w:t>Environmental health perspectives</w:t>
      </w:r>
      <w:r>
        <w:t xml:space="preserve">, </w:t>
      </w:r>
      <w:r>
        <w:rPr>
          <w:i/>
        </w:rPr>
        <w:t>129</w:t>
      </w:r>
      <w:r>
        <w:t>(5), 057,001.</w:t>
      </w:r>
    </w:p>
    <w:p w14:paraId="68EAFA39" w14:textId="77777777" w:rsidR="00427B52" w:rsidRDefault="00000000">
      <w:pPr>
        <w:spacing w:line="259" w:lineRule="auto"/>
        <w:ind w:left="-15" w:right="304" w:firstLine="0"/>
      </w:pPr>
      <w:r>
        <w:t xml:space="preserve">Singleton, M., B. </w:t>
      </w:r>
      <w:proofErr w:type="spellStart"/>
      <w:r>
        <w:t>Esser</w:t>
      </w:r>
      <w:proofErr w:type="spellEnd"/>
      <w:r>
        <w:t>, J. Moran, G. Hudson, W. McNab, and T. Harter (2007),</w:t>
      </w:r>
    </w:p>
    <w:p w14:paraId="198E3C51" w14:textId="77777777" w:rsidR="00427B52" w:rsidRDefault="00000000">
      <w:pPr>
        <w:spacing w:after="16"/>
        <w:ind w:left="199" w:right="304" w:firstLine="0"/>
      </w:pPr>
      <w:r>
        <w:t xml:space="preserve">Saturated zone denitrification: potential for natural attenuation of nitrate contamination in shallow groundwater under dairy operations, </w:t>
      </w:r>
      <w:r>
        <w:rPr>
          <w:i/>
        </w:rPr>
        <w:t>Environmental science &amp; technology</w:t>
      </w:r>
      <w:r>
        <w:t xml:space="preserve">, </w:t>
      </w:r>
      <w:r>
        <w:rPr>
          <w:i/>
        </w:rPr>
        <w:t>41</w:t>
      </w:r>
      <w:r>
        <w:t>(3), 759–765.</w:t>
      </w:r>
    </w:p>
    <w:p w14:paraId="00ACC094" w14:textId="77777777" w:rsidR="00427B52" w:rsidRDefault="00000000">
      <w:pPr>
        <w:spacing w:line="259" w:lineRule="auto"/>
        <w:ind w:left="-15" w:right="304" w:firstLine="0"/>
      </w:pPr>
      <w:r>
        <w:t xml:space="preserve">Stackelberg, P. E., J. E. </w:t>
      </w:r>
      <w:proofErr w:type="spellStart"/>
      <w:r>
        <w:t>Barbash</w:t>
      </w:r>
      <w:proofErr w:type="spellEnd"/>
      <w:r>
        <w:t xml:space="preserve">, R. J. </w:t>
      </w:r>
      <w:proofErr w:type="spellStart"/>
      <w:r>
        <w:t>Gilliom</w:t>
      </w:r>
      <w:proofErr w:type="spellEnd"/>
      <w:r>
        <w:t xml:space="preserve">, W. W. Stone, and D. M. </w:t>
      </w:r>
      <w:proofErr w:type="spellStart"/>
      <w:r>
        <w:t>Wolock</w:t>
      </w:r>
      <w:proofErr w:type="spellEnd"/>
    </w:p>
    <w:p w14:paraId="7E649660" w14:textId="77777777" w:rsidR="00427B52" w:rsidRDefault="00000000">
      <w:pPr>
        <w:spacing w:after="0" w:line="441" w:lineRule="auto"/>
        <w:ind w:left="10" w:right="827" w:hanging="10"/>
        <w:jc w:val="right"/>
      </w:pPr>
      <w:r>
        <w:t xml:space="preserve">(2012), Regression models for estimating concentrations of atrazine plus </w:t>
      </w:r>
      <w:proofErr w:type="spellStart"/>
      <w:r>
        <w:t>deethylatrazine</w:t>
      </w:r>
      <w:proofErr w:type="spellEnd"/>
      <w:r>
        <w:t xml:space="preserve"> in shallow groundwater in agricultural areas of the </w:t>
      </w:r>
      <w:proofErr w:type="gramStart"/>
      <w:r>
        <w:t>united states</w:t>
      </w:r>
      <w:proofErr w:type="gramEnd"/>
      <w:r>
        <w:t xml:space="preserve">, </w:t>
      </w:r>
      <w:r>
        <w:rPr>
          <w:i/>
        </w:rPr>
        <w:t>Journal of environmental quality</w:t>
      </w:r>
      <w:r>
        <w:t xml:space="preserve">, </w:t>
      </w:r>
      <w:r>
        <w:rPr>
          <w:i/>
        </w:rPr>
        <w:t>41</w:t>
      </w:r>
      <w:r>
        <w:t>(2), 479–494.</w:t>
      </w:r>
    </w:p>
    <w:p w14:paraId="73E9CBF2" w14:textId="77777777" w:rsidR="00427B52" w:rsidRDefault="00000000">
      <w:pPr>
        <w:spacing w:after="16" w:line="415" w:lineRule="auto"/>
        <w:ind w:left="194" w:right="768" w:hanging="209"/>
        <w:jc w:val="both"/>
      </w:pPr>
      <w:proofErr w:type="spellStart"/>
      <w:r>
        <w:t>Taghavi</w:t>
      </w:r>
      <w:proofErr w:type="spellEnd"/>
      <w:r>
        <w:t xml:space="preserve">, N., R. K. Niven, D. J. Paull, and M. Kramer (2022), Groundwater vulnerability assessment: A review including new statistical and hybrid methods, </w:t>
      </w:r>
      <w:r>
        <w:rPr>
          <w:i/>
        </w:rPr>
        <w:t>Science of the Total Environment</w:t>
      </w:r>
      <w:r>
        <w:t>, p. 153486.</w:t>
      </w:r>
    </w:p>
    <w:p w14:paraId="6B41FDDE" w14:textId="77777777" w:rsidR="00427B52" w:rsidRDefault="00000000">
      <w:pPr>
        <w:spacing w:after="19"/>
        <w:ind w:left="184" w:right="902" w:hanging="199"/>
      </w:pPr>
      <w:r>
        <w:lastRenderedPageBreak/>
        <w:t xml:space="preserve">Thomsen, R., V. </w:t>
      </w:r>
      <w:proofErr w:type="spellStart"/>
      <w:r>
        <w:t>Søndergaard</w:t>
      </w:r>
      <w:proofErr w:type="spellEnd"/>
      <w:r>
        <w:t xml:space="preserve">, and K. </w:t>
      </w:r>
      <w:proofErr w:type="spellStart"/>
      <w:r>
        <w:t>Sørensen</w:t>
      </w:r>
      <w:proofErr w:type="spellEnd"/>
      <w:r>
        <w:t xml:space="preserve"> (2004), Hydrogeological mapping as a basis for establishing site-specific groundwater protection zones in </w:t>
      </w:r>
      <w:proofErr w:type="spellStart"/>
      <w:r>
        <w:t>denmark</w:t>
      </w:r>
      <w:proofErr w:type="spellEnd"/>
      <w:r>
        <w:t xml:space="preserve">, </w:t>
      </w:r>
      <w:r>
        <w:rPr>
          <w:i/>
        </w:rPr>
        <w:t>Hydrogeology journal</w:t>
      </w:r>
      <w:r>
        <w:t xml:space="preserve">, </w:t>
      </w:r>
      <w:r>
        <w:rPr>
          <w:i/>
        </w:rPr>
        <w:t>12</w:t>
      </w:r>
      <w:r>
        <w:t>, 550–562.</w:t>
      </w:r>
    </w:p>
    <w:p w14:paraId="5DB530B2" w14:textId="77777777" w:rsidR="00427B52" w:rsidRDefault="00000000">
      <w:pPr>
        <w:spacing w:after="9"/>
        <w:ind w:left="184" w:right="387" w:hanging="199"/>
      </w:pPr>
      <w:r>
        <w:t xml:space="preserve">Troiano, J., B. R. Johnson, S. Powell, and S. </w:t>
      </w:r>
      <w:proofErr w:type="spellStart"/>
      <w:r>
        <w:t>Schoenig</w:t>
      </w:r>
      <w:proofErr w:type="spellEnd"/>
      <w:r>
        <w:t xml:space="preserve"> (1994), Use of cluster and principal component analyses to profile areas in </w:t>
      </w:r>
      <w:proofErr w:type="spellStart"/>
      <w:r>
        <w:t>california</w:t>
      </w:r>
      <w:proofErr w:type="spellEnd"/>
      <w:r>
        <w:t xml:space="preserve"> where ground water has been contaminated by pesticides, </w:t>
      </w:r>
      <w:r>
        <w:rPr>
          <w:i/>
        </w:rPr>
        <w:t>Environmental Monitoring and Assessment</w:t>
      </w:r>
      <w:r>
        <w:t xml:space="preserve">, </w:t>
      </w:r>
      <w:r>
        <w:rPr>
          <w:i/>
        </w:rPr>
        <w:t>32</w:t>
      </w:r>
      <w:r>
        <w:t>, 269–288.</w:t>
      </w:r>
    </w:p>
    <w:p w14:paraId="0B1A1108" w14:textId="77777777" w:rsidR="00427B52" w:rsidRDefault="00000000">
      <w:pPr>
        <w:spacing w:after="19"/>
        <w:ind w:left="184" w:right="822" w:hanging="199"/>
      </w:pPr>
      <w:r>
        <w:t xml:space="preserve">Troiano, J., C. Garretson, A. </w:t>
      </w:r>
      <w:proofErr w:type="spellStart"/>
      <w:r>
        <w:t>Dasilva</w:t>
      </w:r>
      <w:proofErr w:type="spellEnd"/>
      <w:r>
        <w:t xml:space="preserve">, J. </w:t>
      </w:r>
      <w:proofErr w:type="spellStart"/>
      <w:r>
        <w:t>Marade</w:t>
      </w:r>
      <w:proofErr w:type="spellEnd"/>
      <w:r>
        <w:t xml:space="preserve">, and T. Barry (2013), Pesticide and nitrate trends in domestic wells where pesticide use is regulated in </w:t>
      </w:r>
      <w:proofErr w:type="spellStart"/>
      <w:r>
        <w:t>fresno</w:t>
      </w:r>
      <w:proofErr w:type="spellEnd"/>
      <w:r>
        <w:t xml:space="preserve"> and </w:t>
      </w:r>
      <w:proofErr w:type="spellStart"/>
      <w:r>
        <w:t>tulare</w:t>
      </w:r>
      <w:proofErr w:type="spellEnd"/>
      <w:r>
        <w:t xml:space="preserve"> counties, </w:t>
      </w:r>
      <w:proofErr w:type="spellStart"/>
      <w:r>
        <w:t>california</w:t>
      </w:r>
      <w:proofErr w:type="spellEnd"/>
      <w:r>
        <w:t xml:space="preserve">, </w:t>
      </w:r>
      <w:r>
        <w:rPr>
          <w:i/>
        </w:rPr>
        <w:t>Journal of environmental quality</w:t>
      </w:r>
      <w:r>
        <w:t xml:space="preserve">, </w:t>
      </w:r>
      <w:r>
        <w:rPr>
          <w:i/>
        </w:rPr>
        <w:t>42</w:t>
      </w:r>
      <w:r>
        <w:t>(6), 1711–1723.</w:t>
      </w:r>
    </w:p>
    <w:p w14:paraId="020C16C2" w14:textId="77777777" w:rsidR="00427B52" w:rsidRDefault="00000000">
      <w:pPr>
        <w:spacing w:after="0"/>
        <w:ind w:left="184" w:right="373" w:hanging="199"/>
      </w:pPr>
      <w:r>
        <w:t xml:space="preserve">USEPA (1991), National primary drinking water regulations. code of federal regulations, 40 </w:t>
      </w:r>
      <w:proofErr w:type="spellStart"/>
      <w:r>
        <w:t>cfr</w:t>
      </w:r>
      <w:proofErr w:type="spellEnd"/>
      <w:r>
        <w:t xml:space="preserve"> parts 9, 141, and 142, </w:t>
      </w:r>
      <w:r>
        <w:rPr>
          <w:rFonts w:ascii="Calibri" w:eastAsia="Calibri" w:hAnsi="Calibri" w:cs="Calibri"/>
        </w:rPr>
        <w:t>https://www.ecfr.gov/current/title-40/ chapter-I/subchapter-D/part-141</w:t>
      </w:r>
      <w:r>
        <w:t>, accessed: March 10, 2023.</w:t>
      </w:r>
    </w:p>
    <w:p w14:paraId="24D1C275" w14:textId="77777777" w:rsidR="00427B52" w:rsidRDefault="00000000">
      <w:pPr>
        <w:spacing w:after="16" w:line="415" w:lineRule="auto"/>
        <w:ind w:left="194" w:right="1065" w:hanging="209"/>
        <w:jc w:val="both"/>
      </w:pPr>
      <w:r>
        <w:t xml:space="preserve">van der Salm, C., J. </w:t>
      </w:r>
      <w:proofErr w:type="spellStart"/>
      <w:r>
        <w:t>Dolfing</w:t>
      </w:r>
      <w:proofErr w:type="spellEnd"/>
      <w:r>
        <w:t xml:space="preserve">, M. Heinen, and G. </w:t>
      </w:r>
      <w:proofErr w:type="spellStart"/>
      <w:r>
        <w:t>Velthof</w:t>
      </w:r>
      <w:proofErr w:type="spellEnd"/>
      <w:r>
        <w:t xml:space="preserve"> (2007), Estimation of nitrogen losses via denitrification from a heavy clay soil under grass, </w:t>
      </w:r>
      <w:r>
        <w:rPr>
          <w:i/>
        </w:rPr>
        <w:t>Agriculture, ecosystems &amp; environment</w:t>
      </w:r>
      <w:r>
        <w:t xml:space="preserve">, </w:t>
      </w:r>
      <w:r>
        <w:rPr>
          <w:i/>
        </w:rPr>
        <w:t>119</w:t>
      </w:r>
      <w:r>
        <w:t>(3-4), 311–319.</w:t>
      </w:r>
    </w:p>
    <w:p w14:paraId="1E1DBBE7" w14:textId="77777777" w:rsidR="00427B52" w:rsidRDefault="00000000">
      <w:pPr>
        <w:spacing w:after="16" w:line="415" w:lineRule="auto"/>
        <w:ind w:left="194" w:right="921" w:hanging="209"/>
        <w:jc w:val="both"/>
      </w:pPr>
      <w:r>
        <w:t xml:space="preserve">Voss, S., B. C. Jurgens, M. S. </w:t>
      </w:r>
      <w:proofErr w:type="spellStart"/>
      <w:r>
        <w:t>Fram</w:t>
      </w:r>
      <w:proofErr w:type="spellEnd"/>
      <w:r>
        <w:t xml:space="preserve">, G. Bennett, et al. (2019), Delineation of spatial extent, depth, thickness, and potential volume of aquifers used for domestic and public water-supply in the central valley, </w:t>
      </w:r>
      <w:proofErr w:type="spellStart"/>
      <w:r>
        <w:t>california</w:t>
      </w:r>
      <w:proofErr w:type="spellEnd"/>
      <w:r>
        <w:t xml:space="preserve">., </w:t>
      </w:r>
      <w:r>
        <w:rPr>
          <w:i/>
        </w:rPr>
        <w:t>Scientific Investigations Report-US Geological Survey</w:t>
      </w:r>
      <w:r>
        <w:t>, (2019-5076).</w:t>
      </w:r>
    </w:p>
    <w:p w14:paraId="75BE5CA4" w14:textId="77777777" w:rsidR="00427B52" w:rsidRDefault="00000000">
      <w:pPr>
        <w:spacing w:after="16" w:line="415" w:lineRule="auto"/>
        <w:ind w:left="194" w:right="802" w:hanging="209"/>
        <w:jc w:val="both"/>
      </w:pPr>
      <w:r>
        <w:t xml:space="preserve">Walton, G. (1951), Survey of literature relating to infant methemoglobinemia due to nitrate-contaminated water, </w:t>
      </w:r>
      <w:r>
        <w:rPr>
          <w:i/>
        </w:rPr>
        <w:t xml:space="preserve">American Journal of Public </w:t>
      </w:r>
      <w:proofErr w:type="gramStart"/>
      <w:r>
        <w:rPr>
          <w:i/>
        </w:rPr>
        <w:t>Health</w:t>
      </w:r>
      <w:proofErr w:type="gramEnd"/>
      <w:r>
        <w:rPr>
          <w:i/>
        </w:rPr>
        <w:t xml:space="preserve"> and the </w:t>
      </w:r>
      <w:proofErr w:type="spellStart"/>
      <w:r>
        <w:rPr>
          <w:i/>
        </w:rPr>
        <w:t>Nations</w:t>
      </w:r>
      <w:proofErr w:type="spellEnd"/>
      <w:r>
        <w:rPr>
          <w:i/>
        </w:rPr>
        <w:t xml:space="preserve"> Health</w:t>
      </w:r>
      <w:r>
        <w:t xml:space="preserve">, </w:t>
      </w:r>
      <w:r>
        <w:rPr>
          <w:i/>
        </w:rPr>
        <w:t>41</w:t>
      </w:r>
      <w:r>
        <w:t xml:space="preserve">(8 Pt </w:t>
      </w:r>
      <w:r>
        <w:rPr>
          <w:rFonts w:ascii="Calibri" w:eastAsia="Calibri" w:hAnsi="Calibri" w:cs="Calibri"/>
          <w:noProof/>
          <w:sz w:val="22"/>
        </w:rPr>
        <mc:AlternateContent>
          <mc:Choice Requires="wpg">
            <w:drawing>
              <wp:inline distT="0" distB="0" distL="0" distR="0" wp14:anchorId="07DEB2F4" wp14:editId="0583E0B5">
                <wp:extent cx="37960" cy="5055"/>
                <wp:effectExtent l="0" t="0" r="0" b="0"/>
                <wp:docPr id="53128" name="Group 53128"/>
                <wp:cNvGraphicFramePr/>
                <a:graphic xmlns:a="http://schemas.openxmlformats.org/drawingml/2006/main">
                  <a:graphicData uri="http://schemas.microsoft.com/office/word/2010/wordprocessingGroup">
                    <wpg:wgp>
                      <wpg:cNvGrpSpPr/>
                      <wpg:grpSpPr>
                        <a:xfrm>
                          <a:off x="0" y="0"/>
                          <a:ext cx="37960" cy="5055"/>
                          <a:chOff x="0" y="0"/>
                          <a:chExt cx="37960" cy="5055"/>
                        </a:xfrm>
                      </wpg:grpSpPr>
                      <wps:wsp>
                        <wps:cNvPr id="8576" name="Shape 8576"/>
                        <wps:cNvSpPr/>
                        <wps:spPr>
                          <a:xfrm>
                            <a:off x="0" y="0"/>
                            <a:ext cx="37960" cy="0"/>
                          </a:xfrm>
                          <a:custGeom>
                            <a:avLst/>
                            <a:gdLst/>
                            <a:ahLst/>
                            <a:cxnLst/>
                            <a:rect l="0" t="0" r="0" b="0"/>
                            <a:pathLst>
                              <a:path w="37960">
                                <a:moveTo>
                                  <a:pt x="0" y="0"/>
                                </a:moveTo>
                                <a:lnTo>
                                  <a:pt x="379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128" style="width:2.989pt;height:0.398pt;mso-position-horizontal-relative:char;mso-position-vertical-relative:line" coordsize="379,50">
                <v:shape id="Shape 8576" style="position:absolute;width:379;height:0;left:0;top:0;" coordsize="37960,0" path="m0,0l37960,0">
                  <v:stroke weight="0.398pt" endcap="flat" joinstyle="miter" miterlimit="10" on="true" color="#000000"/>
                  <v:fill on="false" color="#000000" opacity="0"/>
                </v:shape>
              </v:group>
            </w:pict>
          </mc:Fallback>
        </mc:AlternateContent>
      </w:r>
      <w:r>
        <w:t>1), 986–996.</w:t>
      </w:r>
    </w:p>
    <w:p w14:paraId="22F4E39C" w14:textId="77777777" w:rsidR="00427B52" w:rsidRDefault="00000000">
      <w:pPr>
        <w:spacing w:after="0"/>
        <w:ind w:left="184" w:right="304" w:hanging="199"/>
      </w:pPr>
      <w:proofErr w:type="spellStart"/>
      <w:r>
        <w:t>Weissmann</w:t>
      </w:r>
      <w:proofErr w:type="spellEnd"/>
      <w:r>
        <w:t>, G. S., Y. Zhang, G. E. Fogg, and J. F. Mount (2004), Influence of incised-valley-fill deposits on hydrogeology of a stream-dominated alluvial fan.</w:t>
      </w:r>
    </w:p>
    <w:sectPr w:rsidR="00427B52">
      <w:headerReference w:type="even" r:id="rId15"/>
      <w:headerReference w:type="default" r:id="rId16"/>
      <w:footerReference w:type="even" r:id="rId17"/>
      <w:footerReference w:type="default" r:id="rId18"/>
      <w:headerReference w:type="first" r:id="rId19"/>
      <w:footerReference w:type="first" r:id="rId20"/>
      <w:pgSz w:w="11906" w:h="16838"/>
      <w:pgMar w:top="1359" w:right="1784" w:bottom="1786" w:left="1944" w:header="602" w:footer="14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760A3" w14:textId="77777777" w:rsidR="00BB3343" w:rsidRDefault="00BB3343">
      <w:pPr>
        <w:spacing w:after="0" w:line="240" w:lineRule="auto"/>
      </w:pPr>
      <w:r>
        <w:separator/>
      </w:r>
    </w:p>
  </w:endnote>
  <w:endnote w:type="continuationSeparator" w:id="0">
    <w:p w14:paraId="083CE717" w14:textId="77777777" w:rsidR="00BB3343" w:rsidRDefault="00BB3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3C7D9" w14:textId="77777777" w:rsidR="00427B52" w:rsidRDefault="00000000">
    <w:pPr>
      <w:spacing w:after="0" w:line="259" w:lineRule="auto"/>
      <w:ind w:right="257" w:firstLine="0"/>
      <w:jc w:val="center"/>
    </w:pPr>
    <w:r>
      <w:rPr>
        <w:sz w:val="18"/>
      </w:rPr>
      <w:t>–</w:t>
    </w:r>
    <w:r>
      <w:fldChar w:fldCharType="begin"/>
    </w:r>
    <w:r>
      <w:instrText xml:space="preserve"> PAGE   \* MERGEFORMAT </w:instrText>
    </w:r>
    <w:r>
      <w:fldChar w:fldCharType="separate"/>
    </w:r>
    <w:r>
      <w:rPr>
        <w:sz w:val="18"/>
      </w:rPr>
      <w:t>1</w:t>
    </w:r>
    <w:r>
      <w:rPr>
        <w:sz w:val="18"/>
      </w:rPr>
      <w:fldChar w:fldCharType="end"/>
    </w:r>
    <w:r>
      <w:rPr>
        <w:sz w:val="18"/>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B405A" w14:textId="77777777" w:rsidR="00427B52" w:rsidRDefault="00000000">
    <w:pPr>
      <w:spacing w:after="0" w:line="259" w:lineRule="auto"/>
      <w:ind w:right="257" w:firstLine="0"/>
      <w:jc w:val="center"/>
    </w:pPr>
    <w:r>
      <w:rPr>
        <w:sz w:val="18"/>
      </w:rPr>
      <w:t>–</w:t>
    </w:r>
    <w:r>
      <w:fldChar w:fldCharType="begin"/>
    </w:r>
    <w:r>
      <w:instrText xml:space="preserve"> PAGE   \* MERGEFORMAT </w:instrText>
    </w:r>
    <w:r>
      <w:fldChar w:fldCharType="separate"/>
    </w:r>
    <w:r>
      <w:rPr>
        <w:sz w:val="18"/>
      </w:rPr>
      <w:t>1</w:t>
    </w:r>
    <w:r>
      <w:rPr>
        <w:sz w:val="18"/>
      </w:rPr>
      <w:fldChar w:fldCharType="end"/>
    </w:r>
    <w:r>
      <w:rPr>
        <w:sz w:val="18"/>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2D305" w14:textId="77777777" w:rsidR="00427B52" w:rsidRDefault="00000000">
    <w:pPr>
      <w:spacing w:after="0" w:line="259" w:lineRule="auto"/>
      <w:ind w:right="257" w:firstLine="0"/>
      <w:jc w:val="center"/>
    </w:pPr>
    <w:r>
      <w:rPr>
        <w:sz w:val="18"/>
      </w:rPr>
      <w:t>–</w:t>
    </w:r>
    <w:r>
      <w:fldChar w:fldCharType="begin"/>
    </w:r>
    <w:r>
      <w:instrText xml:space="preserve"> PAGE   \* MERGEFORMAT </w:instrText>
    </w:r>
    <w:r>
      <w:fldChar w:fldCharType="separate"/>
    </w:r>
    <w:r>
      <w:rPr>
        <w:sz w:val="18"/>
      </w:rPr>
      <w:t>1</w:t>
    </w:r>
    <w:r>
      <w:rPr>
        <w:sz w:val="18"/>
      </w:rPr>
      <w:fldChar w:fldCharType="end"/>
    </w:r>
    <w:r>
      <w:rPr>
        <w:sz w:val="1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D3386" w14:textId="77777777" w:rsidR="00BB3343" w:rsidRDefault="00BB3343">
      <w:pPr>
        <w:spacing w:after="0" w:line="240" w:lineRule="auto"/>
      </w:pPr>
      <w:r>
        <w:separator/>
      </w:r>
    </w:p>
  </w:footnote>
  <w:footnote w:type="continuationSeparator" w:id="0">
    <w:p w14:paraId="232675DE" w14:textId="77777777" w:rsidR="00BB3343" w:rsidRDefault="00BB33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85019" w14:textId="77777777" w:rsidR="00427B52" w:rsidRDefault="00000000">
    <w:pPr>
      <w:spacing w:after="0" w:line="259" w:lineRule="auto"/>
      <w:ind w:right="257" w:firstLine="0"/>
      <w:jc w:val="center"/>
    </w:pPr>
    <w:r>
      <w:rPr>
        <w:color w:val="AAB5BB"/>
        <w:sz w:val="18"/>
      </w:rPr>
      <w:t xml:space="preserve">manuscript submitted to </w:t>
    </w:r>
    <w:r>
      <w:rPr>
        <w:i/>
        <w:color w:val="AAB5BB"/>
        <w:sz w:val="18"/>
      </w:rPr>
      <w:t>Environmental Research Letters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8F52A" w14:textId="7DD21CE1" w:rsidR="00AB2064" w:rsidRDefault="00000000" w:rsidP="00AB2064">
    <w:pPr>
      <w:spacing w:after="0" w:line="259" w:lineRule="auto"/>
      <w:ind w:right="257" w:firstLine="0"/>
      <w:jc w:val="center"/>
      <w:rPr>
        <w:color w:val="AAB5BB"/>
        <w:sz w:val="18"/>
      </w:rPr>
    </w:pPr>
    <w:r>
      <w:rPr>
        <w:color w:val="AAB5BB"/>
        <w:sz w:val="18"/>
      </w:rPr>
      <w:t xml:space="preserve">manuscript </w:t>
    </w:r>
    <w:r w:rsidR="00AB2064">
      <w:rPr>
        <w:color w:val="AAB5BB"/>
        <w:sz w:val="18"/>
      </w:rPr>
      <w:t>draft</w:t>
    </w:r>
  </w:p>
  <w:p w14:paraId="33C70B07" w14:textId="77777777" w:rsidR="00AB2064" w:rsidRPr="00AB2064" w:rsidRDefault="00AB2064" w:rsidP="00AB2064">
    <w:pPr>
      <w:spacing w:after="0" w:line="259" w:lineRule="auto"/>
      <w:ind w:right="257" w:firstLine="0"/>
      <w:rPr>
        <w:color w:val="AAB5BB"/>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46CA6" w14:textId="77777777" w:rsidR="00427B52" w:rsidRDefault="00000000">
    <w:pPr>
      <w:spacing w:after="0" w:line="259" w:lineRule="auto"/>
      <w:ind w:right="257" w:firstLine="0"/>
      <w:jc w:val="center"/>
    </w:pPr>
    <w:r>
      <w:rPr>
        <w:color w:val="AAB5BB"/>
        <w:sz w:val="18"/>
      </w:rPr>
      <w:t xml:space="preserve">manuscript submitted to </w:t>
    </w:r>
    <w:r>
      <w:rPr>
        <w:i/>
        <w:color w:val="AAB5BB"/>
        <w:sz w:val="18"/>
      </w:rPr>
      <w:t>Environmental Research Letters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C61865"/>
    <w:multiLevelType w:val="multilevel"/>
    <w:tmpl w:val="3B86098C"/>
    <w:lvl w:ilvl="0">
      <w:start w:val="1"/>
      <w:numFmt w:val="decimal"/>
      <w:pStyle w:val="Heading1"/>
      <w:lvlText w:val="%1"/>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55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27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99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71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43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15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878"/>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num w:numId="1" w16cid:durableId="49888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B52"/>
    <w:rsid w:val="00427B52"/>
    <w:rsid w:val="007B6709"/>
    <w:rsid w:val="00AB2064"/>
    <w:rsid w:val="00BB3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CE043B"/>
  <w15:docId w15:val="{2D931C0A-A85C-E94E-B1F6-4CB6C58F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line="418" w:lineRule="auto"/>
      <w:ind w:right="120" w:firstLine="468"/>
    </w:pPr>
    <w:rPr>
      <w:rFonts w:ascii="Cambria" w:eastAsia="Cambria" w:hAnsi="Cambria" w:cs="Cambria"/>
      <w:color w:val="000000"/>
      <w:sz w:val="20"/>
    </w:rPr>
  </w:style>
  <w:style w:type="paragraph" w:styleId="Heading1">
    <w:name w:val="heading 1"/>
    <w:next w:val="Normal"/>
    <w:link w:val="Heading1Char"/>
    <w:uiPriority w:val="9"/>
    <w:qFormat/>
    <w:pPr>
      <w:keepNext/>
      <w:keepLines/>
      <w:numPr>
        <w:numId w:val="1"/>
      </w:numPr>
      <w:spacing w:after="289" w:line="260" w:lineRule="auto"/>
      <w:ind w:left="10" w:hanging="10"/>
      <w:outlineLvl w:val="0"/>
    </w:pPr>
    <w:rPr>
      <w:rFonts w:ascii="Cambria" w:eastAsia="Cambria" w:hAnsi="Cambria" w:cs="Cambria"/>
      <w:b/>
      <w:color w:val="000000"/>
      <w:sz w:val="22"/>
    </w:rPr>
  </w:style>
  <w:style w:type="paragraph" w:styleId="Heading2">
    <w:name w:val="heading 2"/>
    <w:next w:val="Normal"/>
    <w:link w:val="Heading2Char"/>
    <w:uiPriority w:val="9"/>
    <w:unhideWhenUsed/>
    <w:qFormat/>
    <w:pPr>
      <w:keepNext/>
      <w:keepLines/>
      <w:numPr>
        <w:ilvl w:val="1"/>
        <w:numId w:val="1"/>
      </w:numPr>
      <w:spacing w:after="150" w:line="265" w:lineRule="auto"/>
      <w:ind w:left="456" w:hanging="456"/>
      <w:outlineLvl w:val="1"/>
    </w:pPr>
    <w:rPr>
      <w:rFonts w:ascii="Cambria" w:eastAsia="Cambria" w:hAnsi="Cambria" w:cs="Cambria"/>
      <w:b/>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2"/>
    </w:rPr>
  </w:style>
  <w:style w:type="character" w:customStyle="1" w:styleId="Heading2Char">
    <w:name w:val="Heading 2 Char"/>
    <w:link w:val="Heading2"/>
    <w:rPr>
      <w:rFonts w:ascii="Cambria" w:eastAsia="Cambria" w:hAnsi="Cambria" w:cs="Cambria"/>
      <w:b/>
      <w:color w:val="000000"/>
      <w:sz w:val="20"/>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9633</Words>
  <Characters>54911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Sarfaraz Alam</dc:creator>
  <cp:keywords/>
  <cp:lastModifiedBy>Sarfaraz Alam</cp:lastModifiedBy>
  <cp:revision>2</cp:revision>
  <dcterms:created xsi:type="dcterms:W3CDTF">2023-06-27T17:00:00Z</dcterms:created>
  <dcterms:modified xsi:type="dcterms:W3CDTF">2023-06-27T17:00:00Z</dcterms:modified>
</cp:coreProperties>
</file>